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F4E0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37FB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Минприроды России от 14.06.2016 N 356</w:t>
            </w:r>
            <w:r>
              <w:rPr>
                <w:sz w:val="48"/>
                <w:szCs w:val="48"/>
              </w:rPr>
              <w:br/>
              <w:t>(ред. от 20.09.2019)</w:t>
            </w:r>
            <w:r>
              <w:rPr>
                <w:sz w:val="48"/>
                <w:szCs w:val="48"/>
              </w:rPr>
              <w:br/>
              <w:t>"Об утверждении Правил разработки месторождений углеводородного сырья"</w:t>
            </w:r>
            <w:r>
              <w:rPr>
                <w:sz w:val="48"/>
                <w:szCs w:val="48"/>
              </w:rPr>
              <w:br/>
              <w:t>(Зарегистрировано в Минюсте России 26.08.2016 N 43415)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37FB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37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37FB8">
      <w:pPr>
        <w:pStyle w:val="ConsPlusNormal"/>
        <w:jc w:val="both"/>
        <w:outlineLvl w:val="0"/>
      </w:pPr>
    </w:p>
    <w:p w:rsidR="00000000" w:rsidRDefault="00837FB8">
      <w:pPr>
        <w:pStyle w:val="ConsPlusNormal"/>
        <w:outlineLvl w:val="0"/>
      </w:pPr>
      <w:r>
        <w:t>Зарегистрировано в Минюсте России 26 августа 2016 г. N 43415</w:t>
      </w:r>
    </w:p>
    <w:p w:rsidR="00000000" w:rsidRDefault="00837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837FB8">
      <w:pPr>
        <w:pStyle w:val="ConsPlusTitle"/>
        <w:jc w:val="center"/>
      </w:pPr>
      <w:r>
        <w:t>РОССИЙСКОЙ ФЕДЕРАЦИИ</w:t>
      </w:r>
    </w:p>
    <w:p w:rsidR="00000000" w:rsidRDefault="00837FB8">
      <w:pPr>
        <w:pStyle w:val="ConsPlusTitle"/>
        <w:jc w:val="center"/>
      </w:pPr>
    </w:p>
    <w:p w:rsidR="00000000" w:rsidRDefault="00837FB8">
      <w:pPr>
        <w:pStyle w:val="ConsPlusTitle"/>
        <w:jc w:val="center"/>
      </w:pPr>
      <w:r>
        <w:t>ПРИКАЗ</w:t>
      </w:r>
    </w:p>
    <w:p w:rsidR="00000000" w:rsidRDefault="00837FB8">
      <w:pPr>
        <w:pStyle w:val="ConsPlusTitle"/>
        <w:jc w:val="center"/>
      </w:pPr>
      <w:r>
        <w:t>от 14 июня 2016 г. N 356</w:t>
      </w:r>
    </w:p>
    <w:p w:rsidR="00000000" w:rsidRDefault="00837FB8">
      <w:pPr>
        <w:pStyle w:val="ConsPlusTitle"/>
        <w:jc w:val="center"/>
      </w:pPr>
    </w:p>
    <w:p w:rsidR="00000000" w:rsidRDefault="00837FB8">
      <w:pPr>
        <w:pStyle w:val="ConsPlusTitle"/>
        <w:jc w:val="center"/>
      </w:pPr>
      <w:r>
        <w:t>ОБ УТВЕРЖДЕНИИ ПРАВИЛ</w:t>
      </w:r>
    </w:p>
    <w:p w:rsidR="00000000" w:rsidRDefault="00837FB8">
      <w:pPr>
        <w:pStyle w:val="ConsPlusTitle"/>
        <w:jc w:val="center"/>
      </w:pPr>
      <w:r>
        <w:t>РАЗРАБОТКИ МЕСТОРОЖДЕНИЙ УГЛЕВОДОРОДНОГО СЫРЬЯ</w:t>
      </w:r>
    </w:p>
    <w:p w:rsidR="00000000" w:rsidRDefault="00837FB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7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37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20.09.2019 N</w:t>
            </w:r>
            <w:r>
              <w:rPr>
                <w:color w:val="392C69"/>
              </w:rPr>
              <w:t xml:space="preserve"> 638)</w:t>
            </w:r>
          </w:p>
        </w:tc>
      </w:tr>
    </w:tbl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21 февраля 1992 г. N 2395-</w:t>
      </w:r>
      <w:r>
        <w:t>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</w:t>
      </w:r>
      <w:r>
        <w:t>т. 2061; N 33, ст. 3429; 2002, N 22, ст. 2026; 2003, N 23, ст. 2174; 2004, N 27, ст. 2711; N 35, ст. 3607; 2006, N 17, ст. 1778; N 44, ст. 4538; 2007, N 27, ст. 3213; N 49, ст. 6056; 2008, N 18, ст. 1941; N 29, ст. 3418; N 29, ст. 3420; N 30, ст. 3616; 200</w:t>
      </w:r>
      <w:r>
        <w:t>9, N 1, ст. 17; N 29, ст. 3601; N 52, ст. 6450; 2010, N 21, ст. 2527; N 31, ст. 4155; 2011, N 15, ст. 2018; N 15, ст. 2025; N 30, ст. 4567; N 30, ст. 4570; N 30, ст. 4572; N 30, ст. 4590; N 48, ст. 6732; N 49, ст. 7042; N 50, ст. 7343; N 50, ст. 7359; 2012</w:t>
      </w:r>
      <w:r>
        <w:t>, N 25, ст. 3264; N 31, ст. 4322; N 53, ст. 7648; 2013, N 19, ст. 2312; N 30, ст. 4060; N 30, ст. 4061; N 52, ст. 6961; N 52, ст. 6973; 2014, N 26, ст. 3377; N 30, ст. 4261; N 30, ст. 4262; N 48, ст. 6647; 2015, N 1, ст. 11; ст. 12; ст. 52; N 27, ст. 3996;</w:t>
      </w:r>
      <w:r>
        <w:t xml:space="preserve"> N 29, ст. 4350; ст. 4359),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постановлением Правительства </w:t>
      </w:r>
      <w:r>
        <w:t xml:space="preserve">Российской Федерации от 11 ноября 2015 г. N 1219 (Собрание законодательства Российской Федерации, 2015, N 47, ст. 6586; 2016, N 2, ст. 325),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2669; 2006, N 25, ст. 2723; 2008, N 22, ст. 2581; N 42</w:t>
      </w:r>
      <w:r>
        <w:t>, ст. 4825; N 46, ст. 5337; 2009, N 6, ст. 738; N 33, ст. 4081; N 38, ст. 4489; 2010, N 26, ст. 3350; 2011, N 14, ст. 1935; 2013, N 10, ст. 1027; N 28, ст. 3832; N 45, ст. 5822; 2014, N 2, ст. 123; N 9, ст. 922; 2015, N 2, ст. 491; 2016, N 2, ст. 325; N 2,</w:t>
      </w:r>
      <w:r>
        <w:t xml:space="preserve"> ст. 351; N 13, ст. 1829), приказываю: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29" w:tooltip="ПРАВИЛА РАЗРАБОТКИ МЕСТОРОЖДЕНИЙ УГЛЕВОДОРОДНОГО СЫРЬЯ" w:history="1">
        <w:r>
          <w:rPr>
            <w:color w:val="0000FF"/>
          </w:rPr>
          <w:t>Правила</w:t>
        </w:r>
      </w:hyperlink>
      <w:r>
        <w:t xml:space="preserve"> разработки месторождений углеводородного сырья.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right"/>
      </w:pPr>
      <w:r>
        <w:t>Министр</w:t>
      </w:r>
    </w:p>
    <w:p w:rsidR="00000000" w:rsidRDefault="00837FB8">
      <w:pPr>
        <w:pStyle w:val="ConsPlusNormal"/>
        <w:jc w:val="right"/>
      </w:pPr>
      <w:r>
        <w:t>С.Е.ДОНСКОЙ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837FB8">
      <w:pPr>
        <w:pStyle w:val="ConsPlusNormal"/>
        <w:jc w:val="right"/>
      </w:pPr>
      <w:r>
        <w:t xml:space="preserve">приказом Минприроды </w:t>
      </w:r>
      <w:r>
        <w:t>России</w:t>
      </w:r>
    </w:p>
    <w:p w:rsidR="00000000" w:rsidRDefault="00837FB8">
      <w:pPr>
        <w:pStyle w:val="ConsPlusNormal"/>
        <w:jc w:val="right"/>
      </w:pPr>
      <w:r>
        <w:t>от 14.06.2016 N 356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</w:pPr>
      <w:bookmarkStart w:id="1" w:name="Par29"/>
      <w:bookmarkEnd w:id="1"/>
      <w:r>
        <w:t>ПРАВИЛА РАЗРАБОТКИ МЕСТОРОЖДЕНИЙ УГЛЕВОДОРОДНОГО СЫРЬЯ</w:t>
      </w:r>
    </w:p>
    <w:p w:rsidR="00000000" w:rsidRDefault="00837FB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7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37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20.09.2019 N 638)</w:t>
            </w:r>
          </w:p>
        </w:tc>
      </w:tr>
    </w:tbl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I. Общие положения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 xml:space="preserve">1.1. Настоящие Правила разработаны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от 21 фе</w:t>
      </w:r>
      <w:r>
        <w:t>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</w:t>
      </w:r>
      <w:r>
        <w:t>т. 141; 2001, N 21, ст. 2061; N 33, ст. 3429; 2002, N 22, ст. 2026; 2003, N 23, ст. 2174; 2004, N 27, ст. 2711; N 35, ст. 3607; 2006, N 17, ст. 1778; N 44, ст. 4538; 2007, N 27, ст. 3213; N 49, ст. 6056; 2008, N 18, ст. 1941; N 29, ст. 3418; N 29, ст. 3420</w:t>
      </w:r>
      <w:r>
        <w:t>; N 30, ст. 3616; 2009, N 1, ст. 17; N 29, ст. 3601; N 52, ст. 6450; 2010, N 21, ст. 2527; N 31, ст. 4155; 2011, N 15, ст. 2018; N 15, ст. 2025; N 30, ст. 4567; N 30, ст. 4570; N 30, ст. 4572; N 30, ст. 4590; N 48, ст. 6732; N 49, ст. 7042; N 50, ст. 7343;</w:t>
      </w:r>
      <w:r>
        <w:t xml:space="preserve"> N 50, ст. 7359; 2012, N 25, ст. 3264; N 31, ст. 4322; N 53, ст. 7648; 2013, N 19, ст. 2312; N 30, ст. 4060; N 30, ст. 4061; N 52, ст. 6961; N 52, ст. 6973; 2014, N 26, ст. 3377; N 30, ст. 4261; N 30, ст. 4262; N 48, ст. 6647; 2015, N 1, ст. 11; ст. 12; ст</w:t>
      </w:r>
      <w:r>
        <w:t xml:space="preserve">. 52; N 27, ст. 3996; N 29, ст. 4350; ст. 4359) (далее - Закон Российской Федерации "О недрах"),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</w:t>
      </w:r>
      <w:r>
        <w:t xml:space="preserve">огии Российской Федерации, утвержденным постановлением Правительства Российской Федерации от 11 ноября 2015 г. N 1219 (Собрание законодательства Российской Федерации, 2015, N 47, ст. 6586; 2016, N 2, ст. 325),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</w:t>
      </w:r>
      <w:r>
        <w:t>004, N 26, ст. 2669; 2006, N 25, ст. 2723; 2008, N 22, ст. 2581; N 42, ст. 4825; N 46, ст. 5337; 2009, N 6, ст. 738; N 33, ст. 4081; N 38, ст. 4489; 2010, N 26, ст. 3350; 2011, N 14, ст. 1935; 2013, N 10, ст. 1027; N 28, ст. 3832; N 45, ст. 5822; 2014, N 2</w:t>
      </w:r>
      <w:r>
        <w:t>, ст. 123; N 9, ст. 922; 2015, N 2, ст. 491; 2016, N 2, ст. 325; N 2, ст. 351; N 13, ст. 1829).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1.2. Настоящие Правила устанавливают требования к разработке месторождений углеводородного сырья (далее - УВС), расположенных на территории Российской Федерации</w:t>
      </w:r>
      <w:r>
        <w:t>, во внутренних морских водах, на континентальном шельфе Российской Федерации, в исключительной экономической зоне, на участках недр, расположенных в Черном и Азовском морях, в пределах которых Российская Федерация осуществляет суверенитет, суверенные прав</w:t>
      </w:r>
      <w:r>
        <w:t xml:space="preserve">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в российской части (российском секторе) дна Каспийского </w:t>
      </w:r>
      <w:r>
        <w:t>моря, и Мировом океане, и предназначены для использования Федеральным агентством по недропользованию, его территориальными органами, пользователями недр, иными органами и организациями.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1.3. Технические проекты на разработку месторождений (залежей или учас</w:t>
      </w:r>
      <w:r>
        <w:t xml:space="preserve">тков залежей) </w:t>
      </w:r>
      <w:r>
        <w:lastRenderedPageBreak/>
        <w:t xml:space="preserve">УВС, предусмотренные </w:t>
      </w:r>
      <w:hyperlink r:id="rId17" w:history="1">
        <w:r>
          <w:rPr>
            <w:color w:val="0000FF"/>
          </w:rPr>
          <w:t>подпунктом "б" пункта 9</w:t>
        </w:r>
      </w:hyperlink>
      <w:r>
        <w:t xml:space="preserve"> Положения о подготовке, согласовании и утверждении технических проектов разработки местор</w:t>
      </w:r>
      <w:r>
        <w:t>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</w:t>
      </w:r>
      <w:r>
        <w:t>0 г. N 118 (Собрание законодательства Российской Федерации, 2010, N 10, ст. 1100; 2011, N 32, ст. 4846; 2014, N 14, ст. 1648; 2015, N 2, ст. 480, N 44, ст. 6128, N 52, ст. 7618; 2016, N 8, ст. 1134; N 22, ст. 3233) (далее - Положение о подготовке, согласов</w:t>
      </w:r>
      <w:r>
        <w:t>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недрами), согласованные и утве</w:t>
      </w:r>
      <w:r>
        <w:t xml:space="preserve">ржденные пользователем недр в соответствии со </w:t>
      </w:r>
      <w:hyperlink r:id="rId18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до дня вступления в силу настоящих Правил, действуют </w:t>
      </w:r>
      <w:r>
        <w:t>до окончания срока их действия. Приведение утвержденных до дня вступления в силу настоящих Правил технологических схем опытно-промышленной разработки месторождений (залежей или участков залежей) УВС в соответствие с настоящими Правилами не требуется.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 xml:space="preserve">II. </w:t>
      </w:r>
      <w:r>
        <w:t>Подготовка месторождения к промышленной разработке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 xml:space="preserve">2.1. Подготовка месторождения к промышленной разработке начинается на этапе разведки месторождения после постановки запасов УВС данного месторождения на государственный баланс запасов полезных ископаемых </w:t>
      </w:r>
      <w:r>
        <w:t>(далее - ГБЗ).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2.2. Для подготовки месторождения к промышленной разработке на стадии разведки и пробной эксплуатации месторождения изучаются характеристики месторождения (залежи), собираются необходимые геолого-геофизические, технико-технологические и друг</w:t>
      </w:r>
      <w:r>
        <w:t>ие материалы, позволяющие подготовить месторождение к подсчету геологических запасов УВС, составлению технологической схемы разработки месторождения и вводу его в промышленную разработку.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2.3. Для месторождения, находящегося на стадии разведки и</w:t>
      </w:r>
      <w:r>
        <w:t xml:space="preserve"> пробной эксплуатации, составляются: проект на проведение геологического изучения недр и разведки месторождений полезных ископаемых, проект опытной (пробной) эксплуатации поисковой скважины, проект пробной эксплуатации единичной разведочной скважины, или п</w:t>
      </w:r>
      <w:r>
        <w:t>роект пробной эксплуатации месторождения (залежи).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2.4. При опытной (пробной) эксплуатации поисковых скважин и единичных разведочных скважин выполняется комплекс работ, проводимых с целью уточнения добывных возможностей скважин (в том числе, с применением </w:t>
      </w:r>
      <w:r>
        <w:t>технологий интенсификации притока), состава и физико-химических свойств пластовых флюидов, эксплуатационных характеристик пластов и их изменений во времени.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2.5. Проект опытной (пробной) эксплуатации поисковой скважины, пробной эксплуатации единичной разве</w:t>
      </w:r>
      <w:r>
        <w:t xml:space="preserve">дочной скважины, подготовленный недропользователем, подлежит согласованию в соответствии со </w:t>
      </w:r>
      <w:hyperlink r:id="rId19" w:history="1">
        <w:r>
          <w:rPr>
            <w:color w:val="0000FF"/>
          </w:rPr>
          <w:t>статьей 23.2</w:t>
        </w:r>
      </w:hyperlink>
      <w:r>
        <w:t xml:space="preserve"> Закона Российской Федерации "О недрах" с комис</w:t>
      </w:r>
      <w:r>
        <w:t xml:space="preserve">сией, предусмотренной </w:t>
      </w:r>
      <w:hyperlink r:id="rId20" w:history="1">
        <w:r>
          <w:rPr>
            <w:color w:val="0000FF"/>
          </w:rPr>
          <w:t>пунктом 5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</w:t>
      </w:r>
      <w:r>
        <w:t xml:space="preserve"> и иной проектной документации на выполнение работ, связанных с пользованием участками недр, по видам полезных ископаемых и видам пользования недрами (далее - Комиссия).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2" w:name="Par46"/>
      <w:bookmarkEnd w:id="2"/>
      <w:r>
        <w:t>2.6. Проект пробной эксплуатации месторождения (залежи) (далее - ППЭ) и допо</w:t>
      </w:r>
      <w:r>
        <w:t xml:space="preserve">лнения к нему (далее - ДППЭ) составляются и реализуются в качестве технических проектов на разработку месторождения (залежи) на стадии разведки и пробной эксплуатации с целью получения необходимой информации для уточнения геологического строения, добывных </w:t>
      </w:r>
      <w:r>
        <w:t>возможностей, выполнения подсчета запасов и подготовки месторождения к промышленной разработке. ППЭ, ДППЭ, подготовленные недропользователем, подлежат согласованию с Комиссией.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ППЭ и дополнения к нему составляются на запасы категории C1 + C2 &lt;1&gt;. Недропользователь имеет право осуществлять бурение и добычу УВС из разведочных и эксплуатационных сква</w:t>
      </w:r>
      <w:r>
        <w:t>жин (согласно решениям ППЭ) в границах запасов категории C2 при условии представления полученных результатов пробной эксплуатации и обосновывающих геологических материалов и документов для государственной экспертизы оперативного изменения состояния запасов</w:t>
      </w:r>
      <w:r>
        <w:t xml:space="preserve"> до конца года в котором начата добыча. Изменения категории запасов и их количество учитываются в ГБЗ по состоянию на 1 января года, следующего за годом внесения оперативных изменений.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Классификация</w:t>
        </w:r>
      </w:hyperlink>
      <w:r>
        <w:t xml:space="preserve"> запасов и ресурсов нефти и горючих газов, утвержденная приказом Минприроды России от 29 декабря 2013 г. N 477 (зарегистрирован Министерством юстиции Российской Федераци</w:t>
      </w:r>
      <w:r>
        <w:t>и 31.12.2013, регистрационный N 30943).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2.6.1. Согласованный Комиссией ППЭ или ДППЭ утверждается недропользователем, начиная с года начала его реализации, на следующие сроки: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три года - для мелких и очень мелких месторождений;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пять лет - для средних</w:t>
      </w:r>
      <w:r>
        <w:t xml:space="preserve"> месторождений;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семь лет - для крупных и уникальных месторождений или морских (шельфовых) месторождений вне зависимости от категории месторождения.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Категории месторождений УВС определяются в соответствии с </w:t>
      </w:r>
      <w:hyperlink r:id="rId23" w:history="1">
        <w:r>
          <w:rPr>
            <w:color w:val="0000FF"/>
          </w:rPr>
          <w:t>пунктом 25</w:t>
        </w:r>
      </w:hyperlink>
      <w:r>
        <w:t xml:space="preserve"> Классификации запасов и ресурсов нефти и горючих газов, утвержденной приказом Министерства природных ресурсов и экологии Российской Федерации от 1 ноября 2013 г. N 477 (зарегистрирован</w:t>
      </w:r>
      <w:r>
        <w:t xml:space="preserve"> в Минюсте России 31 декабря 2013 г., регистрационный N 30943).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При наличии пяти и более эксплуатационных объектов (далее - ЭО) срок ППЭ, ДППЭ устанавливается не более пяти лет для мелких и очень мелких месторождений, не более 7 лет - для средних месторожд</w:t>
      </w:r>
      <w:r>
        <w:t>ений.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 случае планирования проведения промышленных испытаний новой для геолого-физических условий технологии разработки месторождения и (или) залежи сроки пробной эксплуатации месторождения и (или) залежи продлеваются на срок, не превышающий три года.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Про</w:t>
      </w:r>
      <w:r>
        <w:t xml:space="preserve">дление сроков ППЭ, ДППЭ, оформляется в виде изменений в ППЭ, ДППЭ, подготовка, согласование и утверждение которых осуществляется в порядке, установленном для подготовки, согласования и утверждения проектной документации в соответствии с </w:t>
      </w:r>
      <w:hyperlink r:id="rId24" w:history="1">
        <w:r>
          <w:rPr>
            <w:color w:val="0000FF"/>
          </w:rPr>
          <w:t>пунктом 25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</w:t>
      </w:r>
      <w:r>
        <w:t>ение работ, связанных с пользованием участками недр, по видам полезных ископаемых и видам пользования недрами.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Годы, в течение которых планируется реализовывать ППЭ, ДППЭ (далее - прогнозные годы), нумеруются порядковыми числительными, начиная с первого го</w:t>
      </w:r>
      <w:r>
        <w:t>да, в котором планируется начать добычу УВС, согласно данному ППЭ, ДППЭ.</w:t>
      </w:r>
    </w:p>
    <w:p w:rsidR="00000000" w:rsidRDefault="00837FB8">
      <w:pPr>
        <w:pStyle w:val="ConsPlusNormal"/>
        <w:jc w:val="both"/>
      </w:pPr>
      <w:r>
        <w:t xml:space="preserve">(пп. 2.6.1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2.7. Мест</w:t>
      </w:r>
      <w:r>
        <w:t>орождение считается введенным в разработку при начале добычи из скважин в соответствии с ППЭ месторождения (залежи). На этапе пробной эксплуатации средних, крупных и уникальных месторождений может добываться не более 20% начальных извлекаемых запасов, числ</w:t>
      </w:r>
      <w:r>
        <w:t>ящихся на ГБЗ. Технологический процесс разработки месторождения (далее - разработка месторождения) направлен на извлечение из недр УВС и других попутных полезных ископаемых и компонентов на основе технического проекта разработки месторождения (залежи).</w:t>
      </w:r>
    </w:p>
    <w:p w:rsidR="00000000" w:rsidRDefault="00837FB8">
      <w:pPr>
        <w:pStyle w:val="ConsPlusNormal"/>
        <w:jc w:val="both"/>
      </w:pPr>
      <w:r>
        <w:t xml:space="preserve">(в </w:t>
      </w:r>
      <w:r>
        <w:t xml:space="preserve">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2.8. Виды, объемы и порядок проведения работ по разведочным, поисковым скважинам определяются пр</w:t>
      </w:r>
      <w:r>
        <w:t>оектной документацией на проведение работ по разведке (доразведке) месторождений углеводородного сырья и (или) техническим проектом разработки месторождения полезных ископаемых и иной проектной документацией на выполнение работ, связанных с пользованием уч</w:t>
      </w:r>
      <w:r>
        <w:t xml:space="preserve">астками недр, в соответствии с требованиями, установленными законодательством Российской Федерации о недрах, а также предусмотренными условиями пользования недрами в соответствии со </w:t>
      </w:r>
      <w:hyperlink r:id="rId27" w:history="1">
        <w:r>
          <w:rPr>
            <w:color w:val="0000FF"/>
          </w:rPr>
          <w:t>статьей 12</w:t>
        </w:r>
      </w:hyperlink>
      <w:r>
        <w:t xml:space="preserve"> Закона Российской Федерации "О недрах".</w:t>
      </w:r>
    </w:p>
    <w:p w:rsidR="00000000" w:rsidRDefault="00837FB8">
      <w:pPr>
        <w:pStyle w:val="ConsPlusNormal"/>
        <w:jc w:val="both"/>
      </w:pPr>
      <w:r>
        <w:t xml:space="preserve">(п. 2.8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</w:t>
      </w:r>
      <w:r>
        <w:t>.9. Интервалы отбора керна, опробований и испытаний, геофизические исследования скважин (далее - ГИС), гидродинамические исследования пластов в скважинах (далее - ГДИ) и другие исследования (с указанием их видов) в каждой разведочной или другой по назначен</w:t>
      </w:r>
      <w:r>
        <w:t>ию скважине устанавливаются геолого-техническим нарядом или отдельными планами работ на скважине.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2.10. При опробовании вскрытого пласта отбор проб жидкости и газов, с целью изучения их количественного и качественного состава, проводится в соответствии с п</w:t>
      </w:r>
      <w:r>
        <w:t>ланами работ.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2.11. При испытании вскрытых продуктивных пластов необходимо проведение работ по определению следующих начальных характеристик: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пластового давления и температуры;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положения водонефтяных, газонефтяных и газоводяных контактов;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дебитов пластовых флюидов;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продуктивных характеристик пласта;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геолого-физических хар</w:t>
      </w:r>
      <w:r>
        <w:t>актеристик пласта;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е) состава и физико-химических свойств пластовых флюидов.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3" w:name="Par76"/>
      <w:bookmarkEnd w:id="3"/>
      <w:r>
        <w:t>2.12. После завершения стадии разведки и пробной эксплуатации недропользователь представляет в Федеральное агентство по недропользованию подсчет запасов УВС, попутных по</w:t>
      </w:r>
      <w:r>
        <w:t>лезных компонентов и технологическую схему разработки месторождения для проведения государственной экспертизы запасов и согласования технического проекта на разработку, в порядке, установленном законодательством Российской Федерации о недрах.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2.13. Составление ППЭ и проведение пробной эксплуатации скважин осуществляются по решению недропользовател</w:t>
      </w:r>
      <w:r>
        <w:t>я.</w:t>
      </w:r>
    </w:p>
    <w:p w:rsidR="00000000" w:rsidRDefault="00837FB8">
      <w:pPr>
        <w:pStyle w:val="ConsPlusNormal"/>
        <w:jc w:val="both"/>
      </w:pPr>
      <w:r>
        <w:t xml:space="preserve">(п. 2.13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2.14. Вопросы дальнейшего использования поисковых и разведочных скважин, пробуренн</w:t>
      </w:r>
      <w:r>
        <w:t>ых за счет средств недропользователя и оказавшихся за пределами контуров нефтегазоносности месторождения (залежи), решаются недропользователем самостоятельно.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III. Технические проекты на промышленную</w:t>
      </w:r>
    </w:p>
    <w:p w:rsidR="00000000" w:rsidRDefault="00837FB8">
      <w:pPr>
        <w:pStyle w:val="ConsPlusTitle"/>
        <w:jc w:val="center"/>
      </w:pPr>
      <w:r>
        <w:t>разработку месторождений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3.1. При промышленной разрабо</w:t>
      </w:r>
      <w:r>
        <w:t>тке месторождений осуществляется технологический процесс извлечения из недр нефти, горючих газов (далее - газов), конденсата и содержащихся в них попутных компонентов на основании технических проектов разработки месторождений, указанных в настоящем пункте.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К техническим проектам, на основании которых может осуществляться промышленная разработка месторождений, в настоящих Правилах относятся: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технологическая схема разработки месторождения (далее - ТСР) и дополнения к ней;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технологический проект разработ</w:t>
      </w:r>
      <w:r>
        <w:t>ки месторождения (далее - ТПР) и дополнения к нему.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3.2. ТСР составляется для подготовленных к стадии промышленной разработки месторождений.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3.3. ТСР, (ТПР) и дополнения к ним составляются на запасы категорий A + B1 + B2 &lt;1&gt;. На стадии промышленной разрабо</w:t>
      </w:r>
      <w:r>
        <w:t>тки месторождения недропользователь имеет право разбуривать или иным способом (например, возврат на эксплуатационный объект, углубление на эксплуатационном объекте, приобщение интервала эксплуатационного объекта) получать информацию, в том числе осуществля</w:t>
      </w:r>
      <w:r>
        <w:t xml:space="preserve">ть добычу УВС по залежи, по ЭО, по участкам ЭО с запасами категории B2 и представлять в Федеральное агентство по недропользованию обосновывающие геологические документы и материалы для проведения государственной экспертизы оперативного изменения состояния </w:t>
      </w:r>
      <w:r>
        <w:t>запасов до конца года, в котором начата добыча. Изменения в категории запасов и их количество учитываются в ГБЗ по состоянию на 1 января года, следующего за годом внесения оперативных изменений.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Классификаци</w:t>
        </w:r>
        <w:r>
          <w:rPr>
            <w:color w:val="0000FF"/>
          </w:rPr>
          <w:t>я</w:t>
        </w:r>
      </w:hyperlink>
      <w:r>
        <w:t xml:space="preserve"> запасов и ресурсов нефти и горючих газов, утвержденная приказом Минприроды России от 29 декабря 2013 г. N 477 (зарегистрирован Министерством юстиции Российской Федерации 31.12.2013, регистрационный N 30943).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3.4. В ТСР, ТПР и дополнений к ним на разработку месторождений проводится обоснование извлекаемых запасов УВС.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3.5. Сроки подготовки ТСР на промышленную разработку месторождений должны соответствовать условиям пользования недрами.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3.6. ТПР составляется для</w:t>
      </w:r>
      <w:r>
        <w:t xml:space="preserve"> месторождений с долей начальных геологических запасов категории A по основному полезному ископаемому более 75%.</w:t>
      </w:r>
    </w:p>
    <w:p w:rsidR="00000000" w:rsidRDefault="00837FB8">
      <w:pPr>
        <w:pStyle w:val="ConsPlusNormal"/>
        <w:jc w:val="both"/>
      </w:pPr>
      <w:r>
        <w:t xml:space="preserve">(п. 3.6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3.7. Действие ТСР, ТПР и дополнений к ним распространяется на весь период разработки месторождений до полной выработки извлекаемых запасов.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3.8. В составе ТСР, ТПР и дополнений к ним могут быть выделены участки опытн</w:t>
      </w:r>
      <w:r>
        <w:t>о-промышленных работ с целью проведения экспериментальных работ (мероприятий) на скважинах, участках ЭО (залежах) по испытанию новых технических средств и технологий разработки для данных геолого-физических условий.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3.9. ТСР, ТПР и дополнений к ним составл</w:t>
      </w:r>
      <w:r>
        <w:t>яется для месторождения в целом.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3.10. Для крупных и уникальных месторождений допускается составление ТСР, ТПР и дополнений к ним с утверждением проектных технологических показателей разработки для одного или нескольких ЭО с общей системой сбора и подготов</w:t>
      </w:r>
      <w:r>
        <w:t>ки продукции.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3.11. Допускается составление единых ТСР, ТПР и дополнений к ним для группы мес</w:t>
      </w:r>
      <w:r>
        <w:t>торождений с общей системой сбора нефти, газа и воды и подготовки продукции с разделением технологических показателей разработки по месторождениям.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3.12. Промышленная разработка ЭО (залежи, месторождения) осуществляется в границах участка недр предоставленного в виде горного отвода в пользование на основании лицензии (далее - лицензионного участка</w:t>
      </w:r>
      <w:r>
        <w:t>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3.13. Новые технические проекты, на основании которых осуществляется промышленная разработка месторождений, могут подготавливаться в течение всего срока действия ранее утвержденных проектных документов.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3.14. Технические проекты, на основании которых ос</w:t>
      </w:r>
      <w:r>
        <w:t>уществляется промышленная разработка месторождений, подлежат согласованию с Комиссией.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3.15. Проектные решения и технологические показатели разработки ТСР, ТПР и дополнений к ним на разработку месторождения вступают в силу с момента утверждения ТСР, ТПР и </w:t>
      </w:r>
      <w:r>
        <w:t>дополнений к ним. Действие утвержденных ТСР, ТПР и дополнений к ним, включая их проектные решения и технологические показатели разработки распространяется на весь период календарного года, в котором они были утверждены.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IV. Промышленная разработка месторождения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4.1. К месторождениям, подготовленным для промышленной разработки, относятся месторож</w:t>
      </w:r>
      <w:r>
        <w:t xml:space="preserve">дения, в отношении которых проведены исследования и мероприятия в соответствии с требованиями </w:t>
      </w:r>
      <w:hyperlink w:anchor="Par46" w:tooltip="2.6. Проект пробной эксплуатации месторождения (залежи) (далее - ППЭ) и дополнения к нему (далее - ДППЭ) составляются и реализуются в качестве технических проектов на разработку месторождения (залежи) на стадии разведки и пробной эксплуатации с целью получения необходимой информации для уточнения геологического строения, добывных возможностей, выполнения подсчета запасов и подготовки месторождения к промышленной разработке. ППЭ, ДППЭ, подготовленные недропользователем, подлежат согласованию с Комиссией." w:history="1">
        <w:r>
          <w:rPr>
            <w:color w:val="0000FF"/>
          </w:rPr>
          <w:t>пунктов 2.8</w:t>
        </w:r>
      </w:hyperlink>
      <w:r>
        <w:t xml:space="preserve"> - </w:t>
      </w:r>
      <w:hyperlink w:anchor="Par76" w:tooltip="2.12. После завершения стадии разведки и пробной эксплуатации недропользователь представляет в Федеральное агентство по недропользованию подсчет запасов УВС, попутных полезных компонентов и технологическую схему разработки месторождения для проведения государственной экспертизы запасов и согласования технического проекта на разработку, в порядке, установленном законодательством Российской Федерации о недрах." w:history="1">
        <w:r>
          <w:rPr>
            <w:color w:val="0000FF"/>
          </w:rPr>
          <w:t>2.12</w:t>
        </w:r>
      </w:hyperlink>
      <w:r>
        <w:t xml:space="preserve"> настоящих Правил, а также выполнены следующие требования: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</w:t>
      </w:r>
      <w:r>
        <w:t xml:space="preserve">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4.1.1. Запасы нефти и (или) газа по категории C1 составляют не менее 30% от всех геологических запасов при соблюдении требований к изученности для категории запасов B1.</w:t>
      </w:r>
    </w:p>
    <w:p w:rsidR="00000000" w:rsidRDefault="00837FB8">
      <w:pPr>
        <w:pStyle w:val="ConsPlusNormal"/>
        <w:jc w:val="both"/>
      </w:pPr>
      <w:r>
        <w:t xml:space="preserve">(пп. 4.1.1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4.1.2. Определены добывные возможности скважин, изучены свойства нефти, свободного и растворенного газа, газового конденсата и содержащиеся в</w:t>
      </w:r>
      <w:r>
        <w:t xml:space="preserve"> них основные полезные ископаемые, имеющие промышленное значение.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4.1.3. Изучены гидрогеологические, геокриологические, экологические и другие условия разработки месторождения с полнотой, достаточной для достоверного технического и экономического обоснован</w:t>
      </w:r>
      <w:r>
        <w:t>ия решения о порядке и условиях его промышленной разработки.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4.2. Подготовленная пользователями недр ТСР или ТПР (или дополнение к ним) направляется в Федеральное агентство по недропользованию для проведения государственной экспертизы запасов (по технико-экономическому обоснованию коэффициентов извлечения нефти, газ</w:t>
      </w:r>
      <w:r>
        <w:t xml:space="preserve">а и газового конденсата) в соответствии с </w:t>
      </w:r>
      <w:hyperlink r:id="rId41" w:history="1">
        <w:r>
          <w:rPr>
            <w:color w:val="0000FF"/>
          </w:rPr>
          <w:t>пунктом 10.1</w:t>
        </w:r>
      </w:hyperlink>
      <w:r>
        <w:t xml:space="preserve"> Положения о государственной экспертизе запасов полезных ископаемых, геологической, экономичес</w:t>
      </w:r>
      <w:r>
        <w:t>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утвержденного постановлением Правительства Российской Федерации от 11 февраля 2005 г. N 69 "О государственной эк</w:t>
      </w:r>
      <w:r>
        <w:t xml:space="preserve">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 (Собрание законодательства Российской Федерации, 2005, N 8, ст. </w:t>
      </w:r>
      <w:r>
        <w:t>651; 2006, N 32, ст. 3570; 2007, N 5, ст. 663; 2009, N 18, ст. 2248; 2014, N 6, ст. 594; 2015, N 50, ст. 7171; 2016, N 8, ст. 1133) (далее - Положение о государственной экспертизе запасов полезных ископаемых, геологической, экономической и экологической ин</w:t>
      </w:r>
      <w:r>
        <w:t>формации о предоставляемых в пользование участках недр, об определении размера и порядка взимания платы за ее проведение) и согласования с Комиссией.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4.3. Месторождение, на котором начата добыча из скважин в соответствии с ТСР, ТПР или дополнения к ним, ут</w:t>
      </w:r>
      <w:r>
        <w:t>вержденными в порядке, установленном законодательством Российской Федерации о недрах, относится к месторождению, введенному в промышленную разработку.</w:t>
      </w:r>
    </w:p>
    <w:p w:rsidR="00000000" w:rsidRDefault="00837FB8">
      <w:pPr>
        <w:pStyle w:val="ConsPlusNormal"/>
        <w:jc w:val="both"/>
      </w:pPr>
      <w:r>
        <w:t xml:space="preserve">(п. 4.3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4.4. Для мелких и очень мелких месторождений допускается составление ТСР и перевод их в группу разрабатываемых при условии, что запасы указанных месторождений, представленные недропользовател</w:t>
      </w:r>
      <w:r>
        <w:t>ем на государственную экспертизу по оперативному изменению состояния запасов не требуют дополнительного проведения геологоразведочных работ, и уточнение геологического строения месторождения может быть проведено в процессе его промышленной разработки.</w:t>
      </w:r>
    </w:p>
    <w:p w:rsidR="00000000" w:rsidRDefault="00837FB8">
      <w:pPr>
        <w:pStyle w:val="ConsPlusNormal"/>
        <w:jc w:val="both"/>
      </w:pPr>
      <w:r>
        <w:t>(в р</w:t>
      </w:r>
      <w:r>
        <w:t xml:space="preserve">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4.5. Необходимость составления технического проекта на разработку месторождения обосновывается не</w:t>
      </w:r>
      <w:r>
        <w:t>дропользователем самостоятельно.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4.6. Дополнение к технологической схеме разработки (далее - ДТСР), дополнение к технологическому проекту разработки (далее - ДТПР) представляются с подсчетом запасов при изменении ранее утвержденных в установленном порядке </w:t>
      </w:r>
      <w:r>
        <w:t>геологических запасов категорий A + B1 + B2 более чем на 20% от начальных запасов по месторождению, подсчетных параметров и (или) принципиальном изменении геологической модели месторождения.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4.7. При изменении ранее утвержденных в порядке, установленном </w:t>
      </w:r>
      <w:hyperlink r:id="rId44" w:history="1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</w:t>
      </w:r>
      <w:r>
        <w:t>ование участках недр, об определении размера и порядка взимания платы за ее проведение, геологических запасов менее чем на 20% по месторождению, в том числе при открытии новой залежи, подготавливается отчет по оперативному изменению состояния запасов, кото</w:t>
      </w:r>
      <w:r>
        <w:t xml:space="preserve">рый передается в Федеральное агентство по недропользованию для проведения государственной экспертизы запасов. При составлении ДТСР и ДТПР должны учитываться последние, утвержденные в порядке, установленном </w:t>
      </w:r>
      <w:hyperlink r:id="rId45" w:history="1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</w:t>
      </w:r>
      <w:r>
        <w:t>орядка взимания платы за ее проведение, данные об оперативном изменении состояния запасов.</w:t>
      </w:r>
    </w:p>
    <w:p w:rsidR="00000000" w:rsidRDefault="00837FB8">
      <w:pPr>
        <w:pStyle w:val="ConsPlusNormal"/>
        <w:jc w:val="both"/>
      </w:pPr>
      <w:r>
        <w:t xml:space="preserve">(п. 4.7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Минприроды России от 20.09.2019 N </w:t>
      </w:r>
      <w:r>
        <w:t>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4.8. При необходимости опробования и внедрения технологии разработки новой для данных геолого-физических условий, а также для крупных и уникальных месторождений, недостаточно разведанных и (или) со сложным геологическим строением, в составе ТСР, ТПР и</w:t>
      </w:r>
      <w:r>
        <w:t xml:space="preserve"> дополнений к ним допускается выделение участка для опытно-промышленных работ (далее - ОПР).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4.9. Дополнения к ТСР, ТПР могут быть представлены на основе ранее проведенного подсчета геологических запасов или оперативного изменения состояния запасов при сох</w:t>
      </w:r>
      <w:r>
        <w:t>ранении ранее принятой геологической модели (далее - ГМ) в случаях: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отклонения фактической годовой добычи нефти и (или) свободного газа от проектной величины, превышающей установленное значение отклонений в соответствии с настоящими Правилами;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положи</w:t>
      </w:r>
      <w:r>
        <w:t>тельных результатах проведенных на месторождении ОПР и возможности их распространения на ЭО или изменении (не подтверждении) эффективности проводимых геолого-технологических (технических) мероприятий (далее - ГТМ);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необходимости изменения технологии и с</w:t>
      </w:r>
      <w:r>
        <w:t>истемы разработки ЭО (залежи).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4.10. Срок завершения разработки и переход к ликвидационным работам обосновывается в ТПР или дополнении к нему.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bookmarkStart w:id="4" w:name="Par137"/>
      <w:bookmarkEnd w:id="4"/>
      <w:r>
        <w:t>V. Допустимые отклонения показателей</w:t>
      </w:r>
    </w:p>
    <w:p w:rsidR="00000000" w:rsidRDefault="00837FB8">
      <w:pPr>
        <w:pStyle w:val="ConsPlusTitle"/>
        <w:jc w:val="center"/>
      </w:pPr>
      <w:r>
        <w:t>разработки месторождения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5.1. Показателями, характеризующими в</w:t>
      </w:r>
      <w:r>
        <w:t xml:space="preserve">ыполнение недропользователем обязанностей, установленных </w:t>
      </w:r>
      <w:hyperlink r:id="rId47" w:history="1">
        <w:r>
          <w:rPr>
            <w:color w:val="0000FF"/>
          </w:rPr>
          <w:t>пунктом 2 части 2 статьи 22</w:t>
        </w:r>
      </w:hyperlink>
      <w:r>
        <w:t xml:space="preserve"> Закона Российской Федерации "О недрах", в части обеспечения соблюд</w:t>
      </w:r>
      <w:r>
        <w:t>ения требований технических проектов, являются: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5" w:name="Par141"/>
      <w:bookmarkEnd w:id="5"/>
      <w:r>
        <w:t>а) годовые уровни добычи нефти и (или) свободного газа, утвержденные для категории запасов A + B1 по месторождению в целом;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6" w:name="Par142"/>
      <w:bookmarkEnd w:id="6"/>
      <w:r>
        <w:t>б) годовой ввод новых добывающих и нагнетательных скважин (с</w:t>
      </w:r>
      <w:r>
        <w:t>уммарно) для категории запасов A + B1 (C1) по месторождению в целом;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7" w:name="Par143"/>
      <w:bookmarkEnd w:id="7"/>
      <w:r>
        <w:t>в) годовой действующий фонд добывающих и (или) нагнетательных скважин для категории запасов A + B1 (C1) по месторождению в целом.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Требования технического проекта, установленны</w:t>
      </w:r>
      <w:r>
        <w:t xml:space="preserve">е в отношении ЭО, считаются выполненными, если соблюдены требования технического проекта, установленные в отношении месторождения в целом в пределах допустимых отклонений показателей, предусмотренных </w:t>
      </w:r>
      <w:hyperlink w:anchor="Par141" w:tooltip="а) годовые уровни добычи нефти и (или) свободного газа, утвержденные для категории запасов A + B1 по месторождению в целом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43" w:tooltip="в) годовой действующий фонд добывающих и (или) нагнетательных скважин для категории запасов A + B1 (C1) по месторождению в целом.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Уровни ежегодных допустимых отклонений показателей, предусмотренных </w:t>
      </w:r>
      <w:hyperlink w:anchor="Par141" w:tooltip="а) годовые уровни добычи нефти и (или) свободного газа, утвержденные для категории запасов A + B1 по месторождению в целом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43" w:tooltip="в) годовой действующий фонд добывающих и (или) нагнетательных скважин для категории запасов A + B1 (C1) по месторождению в целом." w:history="1">
        <w:r>
          <w:rPr>
            <w:color w:val="0000FF"/>
          </w:rPr>
          <w:t>"в"</w:t>
        </w:r>
      </w:hyperlink>
      <w:r>
        <w:t xml:space="preserve"> настоящего пункта, устанавливаются </w:t>
      </w:r>
      <w:hyperlink w:anchor="Par137" w:tooltip="V. Допустимые отклонения показателей" w:history="1">
        <w:r>
          <w:rPr>
            <w:color w:val="0000FF"/>
          </w:rPr>
          <w:t>главами V</w:t>
        </w:r>
      </w:hyperlink>
      <w:r>
        <w:t xml:space="preserve">, </w:t>
      </w:r>
      <w:hyperlink w:anchor="Par304" w:tooltip="IX. Учет фонда скважин" w:history="1">
        <w:r>
          <w:rPr>
            <w:color w:val="0000FF"/>
          </w:rPr>
          <w:t>IX</w:t>
        </w:r>
      </w:hyperlink>
      <w:r>
        <w:t xml:space="preserve"> настоящих Правил и приложением к настоящим Правилам. Соблюдение недропользователем установленных настоящими Правилами уровней ежегодных допустимых отклонений опреде</w:t>
      </w:r>
      <w:r>
        <w:t>ляется данными на конец календарного года.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 случае когда часть месторождения выходит за пределы лицензионного участка и находится в нераспределенном фонде недр, другом субъекте Российской Федерации или принадлежит другому недропользователю, показатели, ха</w:t>
      </w:r>
      <w:r>
        <w:t xml:space="preserve">рактеризующие выполнение недропользователем обязанностей, установленных </w:t>
      </w:r>
      <w:hyperlink r:id="rId48" w:history="1">
        <w:r>
          <w:rPr>
            <w:color w:val="0000FF"/>
          </w:rPr>
          <w:t>пунктом 2 части 2 статьи 22</w:t>
        </w:r>
      </w:hyperlink>
      <w:r>
        <w:t xml:space="preserve"> Закона Российской Федерации "О недрах", в части обе</w:t>
      </w:r>
      <w:r>
        <w:t>спечения соблюдения требований технических проектов, предусмотренные настоящим пунктом, устанавливаются по каждому отдельному лицензионному участку месторождения, без учета частей месторождения, находящихся в нераспределенном фонде недр.</w:t>
      </w:r>
    </w:p>
    <w:p w:rsidR="00000000" w:rsidRDefault="00837FB8">
      <w:pPr>
        <w:pStyle w:val="ConsPlusNormal"/>
        <w:jc w:val="both"/>
      </w:pPr>
      <w:r>
        <w:t xml:space="preserve">(п. 5.1 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5.2. Уровни добычи нефти и (или) свободного газа устанавливаются в соответствии с техническим проектом, </w:t>
      </w:r>
      <w:r>
        <w:t>согласованным с Комиссией.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Уровни добычи свободного газа включают, в том числе газ газовых шапок.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5.3. Уровни добычи нефти и (или) свободного газа для ППЭ (дополнений к нему) и участков ЭО ОПР, выделенных в техническом проекте, устанавливаются в соответств</w:t>
      </w:r>
      <w:r>
        <w:t>ии с фактически достигнутыми.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В случае если годовое количество скважин, указанных в </w:t>
      </w:r>
      <w:hyperlink w:anchor="Par142" w:tooltip="б) годовой ввод новых добывающих и нагнетательных скважин (суммарно) для категории запасов A + B1 (C1) по месторождению в целом;" w:history="1">
        <w:r>
          <w:rPr>
            <w:color w:val="0000FF"/>
          </w:rPr>
          <w:t>подпунктах "б"</w:t>
        </w:r>
      </w:hyperlink>
      <w:r>
        <w:t xml:space="preserve"> </w:t>
      </w:r>
      <w:r>
        <w:t xml:space="preserve">и </w:t>
      </w:r>
      <w:hyperlink w:anchor="Par143" w:tooltip="в) годовой действующий фонд добывающих и (или) нагнетательных скважин для категории запасов A + B1 (C1) по месторождению в целом." w:history="1">
        <w:r>
          <w:rPr>
            <w:color w:val="0000FF"/>
          </w:rPr>
          <w:t>"в" пункта 5.1</w:t>
        </w:r>
      </w:hyperlink>
      <w:r>
        <w:t xml:space="preserve"> настоящих Правил, по итогу отчетного года отличается от предусмотренного в ППЭ и </w:t>
      </w:r>
      <w:r>
        <w:t>ДППЭ (для категории запасов C1) количества скважин, которые должны были быть введены или действовать в течение отчетного года, но при этом по состоянию на начало очередного года, следующего за отчетным, накопленное количество скважин, введенных или действу</w:t>
      </w:r>
      <w:r>
        <w:t>ющих в течение предшествующих трех лет, не менее 100 процентов от предусмотренного в ППЭ и ДППЭ количества скважин, которые должны были быть введены или действовать за указанный период, то требования ППЭ и ДППЭ по годовому количеству скважин считаются выпо</w:t>
      </w:r>
      <w:r>
        <w:t xml:space="preserve">лненными. В случае если срок реализации ППЭ превышает три года, выполнение недропользователем требований ППЭ по количеству скважин, указанных в </w:t>
      </w:r>
      <w:hyperlink w:anchor="Par142" w:tooltip="б) годовой ввод новых добывающих и нагнетательных скважин (суммарно) для категории запасов A + B1 (C1) по месторождению в целом;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43" w:tooltip="в) годовой действующий фонд добывающих и (или) нагнетательных скважин для категории запасов A + B1 (C1) по месторождению в целом." w:history="1">
        <w:r>
          <w:rPr>
            <w:color w:val="0000FF"/>
          </w:rPr>
          <w:t>"в" пункта 5.1</w:t>
        </w:r>
      </w:hyperlink>
      <w:r>
        <w:t xml:space="preserve"> настоящих Правил, опр</w:t>
      </w:r>
      <w:r>
        <w:t>еделяется не ранее истечения трех лет реализации ППЭ.</w:t>
      </w:r>
    </w:p>
    <w:p w:rsidR="00000000" w:rsidRDefault="00837FB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Началом первого года реализации </w:t>
      </w:r>
      <w:r>
        <w:t>ППЭ или ДППЭ считается 1 января года, в котором начата добыча УВС согласно данному ППЭ или ДППЭ.</w:t>
      </w:r>
    </w:p>
    <w:p w:rsidR="00000000" w:rsidRDefault="00837FB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Минприроды России от 20.09.2</w:t>
      </w:r>
      <w:r>
        <w:t>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5.4. Уровни отборов попутного газа и конденсата устанавливаются в соответствии с фактически достигнутыми. При наличии в продукции нефтяных добывающих скважин свободного газа из газовой шапки его объемы должны быть учтены отдельно.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5.5. Допускают</w:t>
      </w:r>
      <w:r>
        <w:t xml:space="preserve">ся отклонения фактической годовой добычи нефти и (или) свободного газа по месторождению углеводородов от проектной величины, утвержденной в техническом проекте в соответствии с </w:t>
      </w:r>
      <w:hyperlink w:anchor="Par527" w:tooltip="ДОПУСТИМЫЕ ОТКЛОНЕНИЯ" w:history="1">
        <w:r>
          <w:rPr>
            <w:color w:val="0000FF"/>
          </w:rPr>
          <w:t>приложением</w:t>
        </w:r>
      </w:hyperlink>
      <w:r>
        <w:t xml:space="preserve"> к настоящим Прави</w:t>
      </w:r>
      <w:r>
        <w:t>лам.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5.6. В случае отклонения уровня фактической годовой добычи нефти и (или) свободного газа от проектной сверх допустимых значений по месторождению (за исключением случаев, установленных </w:t>
      </w:r>
      <w:hyperlink w:anchor="Par163" w:tooltip="5.8. Отклонения фактической годовой добычи нефти и (или) свободного газа от проектной по месторождению, принимаются как допустимые, в случае ограничений на их реализацию, связанных с обстоятельствами непреодолимой силы." w:history="1">
        <w:r>
          <w:rPr>
            <w:color w:val="0000FF"/>
          </w:rPr>
          <w:t>пунктами 5.8</w:t>
        </w:r>
      </w:hyperlink>
      <w:r>
        <w:t xml:space="preserve"> и </w:t>
      </w:r>
      <w:hyperlink w:anchor="Par164" w:tooltip="5.9. Для газовых и газоконденсатных месторождений допустимые отклонения фактической годовой добычи газа от проектной устанавливаются в соответствии с фактически достигнутыми уровнями добычи газа в случае, если такие отклонения связаны с изменением спроса на газ." w:history="1">
        <w:r>
          <w:rPr>
            <w:color w:val="0000FF"/>
          </w:rPr>
          <w:t>5.9</w:t>
        </w:r>
      </w:hyperlink>
      <w:r>
        <w:t xml:space="preserve"> настоящих Правил), недропользователю необходимо установить причины отклонений и внести соответствующие изменения в процесс разработки месторождения или подготовить новый технический проект.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5.7. В случае, когда часть месторождения выходит за пределы лицензионного участка и находится в нераспределенном фонде недр, другом субъекте Российской Федера</w:t>
      </w:r>
      <w:r>
        <w:t>ции или принадлежит другому недропользователю, допустимые отклонения показателей, характеризующих выполнение технического проекта разработки месторождения, устанавливаются для каждого лицензионного участка месторождения отдельно. Значения допустимых отклон</w:t>
      </w:r>
      <w:r>
        <w:t>ений технологических показателей разработки для каждого лицензионного участка устанавливаются равными значениям допустимых отклонений технологических показателей разработки, предусмотренным настоящими Правилами для месторождений в целом.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 случае когда месторождение расположено в пределах нескольких лицензионных участков одного субъекта Российской</w:t>
      </w:r>
      <w:r>
        <w:t xml:space="preserve"> Федерации, принадлежащих одному недропользователю, допустимые отклонения показателей, характеризующих выполнение технического проекта разработки месторождения, устанавливаются в целом по месторождению.</w:t>
      </w:r>
    </w:p>
    <w:p w:rsidR="00000000" w:rsidRDefault="00837FB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8" w:name="Par163"/>
      <w:bookmarkEnd w:id="8"/>
      <w:r>
        <w:t>5.8. Отклонения фактической годовой добычи нефти и (или) свободного газа от проектной по месторождению, принимаются как допусти</w:t>
      </w:r>
      <w:r>
        <w:t>мые, в случае ограничений на их реализацию, связанных с обстоятельствами непреодолимой силы.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9" w:name="Par164"/>
      <w:bookmarkEnd w:id="9"/>
      <w:r>
        <w:t>5.9. Для газовых и газоконденсатных месторождений допустимые отклонения фактической годовой добычи газа от проектной устанавливаются в соответствии с ф</w:t>
      </w:r>
      <w:r>
        <w:t>актически достигнутыми уровнями добычи газа в случае, если такие отклонения связаны с изменением спроса на газ.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Минприроды России от</w:t>
      </w:r>
      <w:r>
        <w:t xml:space="preserve">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Допустимые отклонения фактической годовой добычи нефти при сезонной добыче устанавливаются в соответствии с фактически достигнутыми уровнями добычи нефти, если такой режим эксплуатации скважин предусмотрен техническим проектом разработки</w:t>
      </w:r>
      <w:r>
        <w:t xml:space="preserve"> месторождения.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5.10. Для месторождений, находящихся в промышленной разработке, уровень добыч</w:t>
      </w:r>
      <w:r>
        <w:t xml:space="preserve">и которых устанавливается в соответствии с фактически достигнутым уровнем, а накопленная добыча нефти после 5 лет с даты утверждения технического проекта превышает отклонение </w:t>
      </w:r>
      <w:r w:rsidR="00CF4E00">
        <w:rPr>
          <w:noProof/>
          <w:position w:val="-2"/>
        </w:rPr>
        <w:drawing>
          <wp:inline distT="0" distB="0" distL="0" distR="0">
            <wp:extent cx="174625" cy="182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50% от проектной накопленной добычи нефти, н</w:t>
      </w:r>
      <w:r>
        <w:t>едропользователем должен быть составлен новый технический проект.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10" w:name="Par170"/>
      <w:bookmarkEnd w:id="10"/>
      <w:r>
        <w:t>5.11. Допускают</w:t>
      </w:r>
      <w:r>
        <w:t>ся ежегодные отклонения по вводу новых скважин относительно установленных в ТСР, ТПР и дополнениях к ним. Отклонение в сторону увеличения количества вводимых новых скважин устанавливается в соответствии с фактически достигнутым количеством. Отклонения в ст</w:t>
      </w:r>
      <w:r>
        <w:t>орону уменьшения количества вводимых новых скважин устанавливается в объеме: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680"/>
      </w:tblGrid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Количество ежегодно вводимых новых добывающих и нагнетательных скважин (суммарно) из бурения всего на месторождении по состоянию на конец календарного года, согласно техническому проекту, штук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Допустимое ежегодное отклонение (не более), процентов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до 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ус</w:t>
            </w:r>
            <w:r>
              <w:t>танавливается в соответствии с фактически достигнутым количеством скважин</w:t>
            </w:r>
          </w:p>
        </w:tc>
      </w:tr>
      <w:tr w:rsidR="00000000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20.09.2019 N 638)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от 11 до 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45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от 26 до 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40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от 51 до 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30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101 и более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20</w:t>
            </w:r>
          </w:p>
        </w:tc>
      </w:tr>
    </w:tbl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bookmarkStart w:id="11" w:name="Par187"/>
      <w:bookmarkEnd w:id="11"/>
      <w:r>
        <w:t>В случае, если количество введенных новых скважин по итогу отчетного года находится в пределах допустимого отклонения, указанного в настоящем пункте, но при этом, по состоянию на начало очередно</w:t>
      </w:r>
      <w:r>
        <w:t>го года, следующего за отчетным, накопленное количество новых скважин, введенных в течение предшествующих трех лет менее 80 процентов от предусмотренного в ТСР, ТПР и дополнениях к ним количества новых скважин, которые должны были быть введены в течение ук</w:t>
      </w:r>
      <w:r>
        <w:t>азанного периода, то требования ТСР, ТПР и дополнений к ним по вводу новых скважин считаются невыполненными.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12" w:name="Par188"/>
      <w:bookmarkEnd w:id="12"/>
      <w:r>
        <w:t>В случае, если количество введенных новых скважин по итогу отчетного года находится за пределами допустимого отклонения, указанного в н</w:t>
      </w:r>
      <w:r>
        <w:t>астоящем пункте, но при этом, по причине досрочного ввода новых скважин, по состоянию на начало очередного года, следующего за отчетным накопленное количество новых скважин, введенных в течение предшествующих трех лет, не менее 80 процентов от предусмотрен</w:t>
      </w:r>
      <w:r>
        <w:t>ного в ТСР, ТПР и дополнениях к ним количества новых скважин, которые должны были быть введены в течение указанного периода, то требования ТСР, ТПР и дополнений к ним по вводу новых скважин считаются выполненными.</w:t>
      </w:r>
    </w:p>
    <w:p w:rsidR="00000000" w:rsidRDefault="00837FB8">
      <w:pPr>
        <w:pStyle w:val="ConsPlusNormal"/>
        <w:spacing w:before="240"/>
        <w:ind w:firstLine="540"/>
        <w:jc w:val="both"/>
      </w:pPr>
      <w:hyperlink w:anchor="Par187" w:tooltip="В случае, если количество введенных новых скважин по итогу отчетного года находится в пределах допустимого отклонения, указанного в настоящем пункте, но при этом, по состоянию на начало очередного года, следующего за отчетным, накопленное количество новых скважин, введенных в течение предшествующих трех лет менее 80 процентов от предусмотренного в ТСР, ТПР и дополнениях к ним количества новых скважин, которые должны были быть введены в течение указанного периода, то требования ТСР, ТПР и дополнений к ним...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ar188" w:tooltip="В случае, если количество введенных новых скважин по итогу отчетного года находится за пределами допустимого отклонения, указанного в настоящем пункте, но при этом, по причине досрочного ввода новых скважин, по состоянию на начало очередного года, следующего за отчетным накопленное количество новых скважин, введенных в течение предшествующих трех лет, не менее 80 процентов от предусмотренного в ТСР, ТПР и дополнениях к ним количества новых скважин, которые должны были быть введены в течение указанного пе..." w:history="1">
        <w:r>
          <w:rPr>
            <w:color w:val="0000FF"/>
          </w:rPr>
          <w:t>третий</w:t>
        </w:r>
      </w:hyperlink>
      <w:r>
        <w:t xml:space="preserve"> настоящего пункта применяются после истечения трех лет реализации технического проекта разработки месторождения.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5.12. Допускаются отклонения по действующему фонду добывающих скважин относительно установленных в ТСР, ТПР и дополнениях к ним. Отклонения в сторону увеличения количества добывающих скважин в дейс</w:t>
      </w:r>
      <w:r>
        <w:t>твующем фонде устанавливается в соответствии с фактически достигнутым количеством. Отклонения в сторону уменьшения количества добывающих скважин в действующем фонде устанавливаются в объеме: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680"/>
      </w:tblGrid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Количество действующих добывающих скважин на месторождении по состоянию на конец календарного года согласно техническому проекту, штук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Допустимое отклонение (не более), процентов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до 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устанавливается в соответствии с фактически достигнутым количеством скважин</w:t>
            </w:r>
          </w:p>
        </w:tc>
      </w:tr>
      <w:tr w:rsidR="00000000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</w:t>
            </w:r>
            <w:r>
              <w:t>рироды России от 20.09.2019 N 638)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от 11 до 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40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от 51 до 200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30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201 и более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20</w:t>
            </w:r>
          </w:p>
        </w:tc>
      </w:tr>
    </w:tbl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bookmarkStart w:id="13" w:name="Par206"/>
      <w:bookmarkEnd w:id="13"/>
      <w:r>
        <w:t>5.13. Допускаются отклонения по действующему фонду нагнетательных скважин относительно установленных в ТСР, ТПР и дополнениях к ним. Отклонения в сторону увеличения количества нагнетательных скважин в действующем фонде устанавливается в соответствии с факт</w:t>
      </w:r>
      <w:r>
        <w:t>ически достигнутым количеством. Отклонения в сторону уменьшения количества нагнетательных скважин в действующем фонде устанавливаются в объеме: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680"/>
      </w:tblGrid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Количество действующих нагнетательных скважин на месторождении по состоянию на конец календарного года согласно техническому проекту, штук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Допустимое отклонение (не более), процентов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до 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устанавливаетс</w:t>
            </w:r>
            <w:r>
              <w:t>я в соответствии с фактически достигнутым количеством скважин</w:t>
            </w:r>
          </w:p>
        </w:tc>
      </w:tr>
      <w:tr w:rsidR="00000000">
        <w:tc>
          <w:tcPr>
            <w:tcW w:w="9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20.09.2019 N 638)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от 11 до 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40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от 51 до 200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30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201 и более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ind w:left="567"/>
            </w:pPr>
            <w:r>
              <w:t>20</w:t>
            </w:r>
          </w:p>
        </w:tc>
      </w:tr>
    </w:tbl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 xml:space="preserve">5.14. Отклонения технологических показателей разработки, превышающие показатели, предусмотренные </w:t>
      </w:r>
      <w:hyperlink w:anchor="Par170" w:tooltip="5.11. Допускаются ежегодные отклонения по вводу новых скважин относительно установленных в ТСР, ТПР и дополнениях к ним. Отклонение в сторону увеличения количества вводимых новых скважин устанавливается в соответствии с фактически достигнутым количеством. Отклонения в сторону уменьшения количества вводимых новых скважин устанавливается в объеме:" w:history="1">
        <w:r>
          <w:rPr>
            <w:color w:val="0000FF"/>
          </w:rPr>
          <w:t>пунктами 5.11</w:t>
        </w:r>
      </w:hyperlink>
      <w:r>
        <w:t xml:space="preserve"> - </w:t>
      </w:r>
      <w:hyperlink w:anchor="Par206" w:tooltip="5.13. Допускаются отклонения по действующему фонду нагнетательных скважин относительно установленных в ТСР, ТПР и дополнениях к ним. Отклонения в сторону увеличения количества нагнетательных скважин в действующем фонде устанавливается в соответствии с фактически достигнутым количеством. Отклонения в сторону уменьшения количества нагнетательных скважин в действующем фонде устанавливаются в объеме:" w:history="1">
        <w:r>
          <w:rPr>
            <w:color w:val="0000FF"/>
          </w:rPr>
          <w:t>5.13</w:t>
        </w:r>
      </w:hyperlink>
      <w:r>
        <w:t xml:space="preserve"> настоящих Правил, по причине ограничений на реализацию продукции, связанных с обс</w:t>
      </w:r>
      <w:r>
        <w:t>тоятельствами непреодолимой силы, принимаются как допустимые.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5.15. Пользователь недр обеспечивает научное изучение и сопровождение разработки месторождения (ЭО), осуществляет самостоятельный анализ разработки месторождения (ЭО) и выполнения проектных реше</w:t>
      </w:r>
      <w:r>
        <w:t>ний, технологических показателей разработки месторождения (ЭО) и рациональной выработки (использованию) запасов углеводородов.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5.16. Пользователь недр имеет право принимать оперативные решения по рациональному использованию фонда скважин всех назначений бе</w:t>
      </w:r>
      <w:r>
        <w:t>з внесения изменений в ТСР, ТПР и дополнения к ним в случаях: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распространение проектной системы разработки на участки расширения площади продуктивного пласта, входящие в единый ЭО, выявленные по результатам уточнения геологического строения месторождени</w:t>
      </w:r>
      <w:r>
        <w:t>я. При этом, распространение проектной системы разработки на участки расширения площади продуктивного пласта для крупных и уникальных месторождений не должно превышать 10% от площади продуктивного пласта ЭО;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отмена проектных скважин на участках сокращения площади залежи;</w:t>
      </w:r>
    </w:p>
    <w:p w:rsidR="00000000" w:rsidRDefault="00837FB8">
      <w:pPr>
        <w:pStyle w:val="ConsPlusNormal"/>
        <w:spacing w:before="240"/>
        <w:ind w:firstLine="540"/>
        <w:jc w:val="both"/>
      </w:pPr>
      <w:bookmarkStart w:id="14" w:name="Par226"/>
      <w:bookmarkEnd w:id="14"/>
      <w:r>
        <w:t>в) изменение местоположения, назначения, конструкции проектных скважин на локальных (не более 10% от проектного фонда скважин) участках продуктивного пласта, входящих в единый Э</w:t>
      </w:r>
      <w:r>
        <w:t>О по результатам уточнения геологического строения или изысканий на местности;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перевод скв</w:t>
      </w:r>
      <w:r>
        <w:t>ажин, выполнивших проектное назначение, на другой ЭО;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проведение ГТМ, не меняющих основные положения технического проекта при условии, что уровни отбора нефти и (или) свободного газа находятся в пределах допустимых отклонений.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 xml:space="preserve">VI. Требования к системе </w:t>
      </w:r>
      <w:r>
        <w:t>разработки месторождения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6.1. Выделение эксплуатационных объектов разработки: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6.1.1. Целью выделения ЭО на месторождении является обеспечение рациональной разработки месторождения и достижение максимально возможных коэффициентов извлечения УВС (коэффициен</w:t>
      </w:r>
      <w:r>
        <w:t>т извлечения нефти, коэффициент извлечения газа, коэффициент извлечения конденсата).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6.1.2. ЭО должен выделяться с запасами, достаточными для обеспечения продолжительной эксплуатации скважин. Выделяются и обосновываются самостоятельные (основные) и возврат</w:t>
      </w:r>
      <w:r>
        <w:t>ные ЭО.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К основному эксплуатационному объекту относится: залежь нефти (газа), часть залежи или несколько залежей нефти (газа) объединенных в один ЭО, разрабатываемых единой сеткой эксплуатационных скважин.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К возвратному эксплуатационному объекту относится:</w:t>
      </w:r>
      <w:r>
        <w:t xml:space="preserve"> залежь нефти (газа) или несколько залежей нефти (газа), объединенных в один ЭО, разработка которого/ых, как самостоятельного ЭО, технико-экономически нерентабельна, что обосновано в проектных технических документах (далее - ПТД).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6.1.3. Между выделяемыми </w:t>
      </w:r>
      <w:r>
        <w:t>ЭО должны быть выдержанные разделы из непроницаемых пород во избежание перетоков флюидов между близкими по глубине ЭО.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6.1.4. Залежи, объединяемые в один ЭО, должны быть близки по составу коллекторов и физико-химическим свойствам флюидов, величинам начальн</w:t>
      </w:r>
      <w:r>
        <w:t>ых пластовых давлений. Продуктивные пласты, к которым приурочены залежи одного ЭО, должны иметь одинаковые литологические характеристики и близкие по значению фильтрационно-емкостные свойства. Не рекомендуется объединять в один ЭО залежи, приуроченные к ги</w:t>
      </w:r>
      <w:r>
        <w:t>дрофильным и гидрофобным пластам-коллекторам, различным по типу породы коллектора, по типу пустотного пространства.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Минприроды Росси</w:t>
      </w:r>
      <w:r>
        <w:t>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6.1.5. По залежам, запасы УВС которых учтены в ГБЗ отдельно и объединенные в техническом проекте разработки месторождения в один ЭО, должен осуществляться раздельный учет закачки рабочего агента и раздельный учет добываемых нефти, ко</w:t>
      </w:r>
      <w:r>
        <w:t>нденсата, газа, воды.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6.1.6. Для крупных многопластовых месторождений природного газа очередность ввода ЭО в разработку определяется с учетом динамики пластовых давлений, сроков ввода дожимной компрессорной станции (далее - ДКС) или нагнетательной компресс</w:t>
      </w:r>
      <w:r>
        <w:t>орной станции (далее - НКС), возможности использования энергии залежей с высоким пластовым давлением для бескомпрессорного транспорта газа, добываемого из залежей с низким пластовым давлением или соседних месторождений.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6.2. Целесообразность объединения за</w:t>
      </w:r>
      <w:r>
        <w:t>лежей в ЭО обосновывается в техническом проекте разработки месторождения: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6.2.1. Разработка возвратного ЭО, нерентабельность которого доказана в техническом проекте разработки месторождения, должна быть предусмотрена скважинами, переводимыми с других ЭО, п</w:t>
      </w:r>
      <w:r>
        <w:t>осле выполнения ими проектного назначения.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6.2.2. Для оценки отклонений фактической добычи нефти и (или) свободного газа по месторождению углеводородов от проектной величины, утвержденной в техническом проекте разработки месторождения, используются уровни </w:t>
      </w:r>
      <w:r>
        <w:t>добычи нефти и (или) свободного газа, рассчитанные для категории запасов A + B1.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6.3. Система разработки определяет: схему размещения и конструкции скважин, способы заканчивания, количество (плотность сетки скважин) и назначение, режимы работы залежи в ЭО,</w:t>
      </w:r>
      <w:r>
        <w:t xml:space="preserve"> рабочий агент для поддержания пластового давления (далее - ППД) и вытеснения углеводородов.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Система разработки ЭО обосновывается в техническом проекте разработки месторождения.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6.4. Технологические показатели разработки месторождений: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6.4.1. Технологические показатели разработки месторождения, рассчитанные в ПТД в границах запасов УВС категорий A</w:t>
      </w:r>
      <w:r>
        <w:t xml:space="preserve"> + B1 используются для текущего планирования добычи УВС, обустройства, объемов буровых и строительных работ.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6.4.2. Технологические показатели разработки месторождения, рассчитанные в границах запасов УВС категорий A + B1 + B2 (в ППЭ по категории з</w:t>
      </w:r>
      <w:r>
        <w:t>апасов C1 + C2), используются для перспективного планирования добычи УВС, обустройства, объемов буровых и строительных работ.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6.4.3. Расчет технологических показателей разработки ЭО месторождения проводится с использованием построенных трехмерных геологиче</w:t>
      </w:r>
      <w:r>
        <w:t>ских и гидродинамических моделей (далее - ГМ и ГДМ соответственно).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6.5. Выбор рабочего агента для ППД и воздействия на залежь УВС: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</w:t>
      </w:r>
      <w:r>
        <w:t>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6.5.1. Рабочий агент, закачиваемый в ЭО должен: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обеспечивать химическую совместимость с пластовыми флюидами, без образования вторичных осадков, ухудшающих свойства пласта;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не ухудшать свойства УВС в пластовых ус</w:t>
      </w:r>
      <w:r>
        <w:t>ловиях;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обеспечивать проектную приемистость.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6.5.2. Система ППД должна обеспечивать: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объемы закачки рабочего агента в ЭО и давление его нагнетания по скважинам, в соответствии с техническим проектом разработки месторождения;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подготовку рабочего аг</w:t>
      </w:r>
      <w:r>
        <w:t>ента до кондиций (по составу, физико-химическим свойствам, содержанию мехпримесей, кислорода, сероводорода и микроорганизмов), удовлетворяющих требованиям технического проекта разработки месторождения;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возможность систематических замеров рабочего давлен</w:t>
      </w:r>
      <w:r>
        <w:t>ия и приемистости каждой скважины;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контроль качества рабочего агента с периодичностью, предусмотренной техническим проектом разработки месторождения;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требования по охране недр.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6.6. При закачке в пласты сточных вод или других коррозионно-агрессивных </w:t>
      </w:r>
      <w:r>
        <w:t>рабочих агентов обсадные колонны скважин (эксплуатационное оборудование) должны быть защищены от вредного воздействия пакерующими устройствами, ингибиторами, коррозионностойким покрытием или другими методами.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6.7. Закачка в продуктивные пласты растворов хи</w:t>
      </w:r>
      <w:r>
        <w:t>мических реагентов, с целью интенсификации добычи или повышения коэффициент извлечения нефти (далее - КИН), коэффициент извлечения газа (далее - КИГ), коэффициент извлечения конденсата (далее - КИК) проводится в соответствии с технологией, обоснованной в т</w:t>
      </w:r>
      <w:r>
        <w:t>ехническом проекте.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6.8. Пользователь недр должен обеспечить ведение раздельного учета закачки рабочих агентов и добычи УВС поскважинно, с целью оценки дополнительной добычи по каждому применяемому методу интенсификации добычи или повышения КИН (КИГ, КИК).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6.9. В случае если из-за изменений условий производства работ требуется корректировка технических и технологических решений, влияющих на безопасное недропользование, соответствующие обоснования включаются в планы развития горных работ, подготавливаемых в </w:t>
      </w:r>
      <w:r>
        <w:t>порядке, установленном законодательством Российской Федерации.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VII. Назначение скважин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7.1. На стадиях поиска, разведки и разработки месторождений бурятся и выделяются скважины в соответствии с их назначением.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7.2. Опорные скважины проектируются и бурятс</w:t>
      </w:r>
      <w:r>
        <w:t>я для изучения общего геологического строения и гидрогеологических условий залегания всей толщи пород и выявления закономерностей распространения комплексов отложений, благоприятных для нефтегазонакопления.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7.3. Параметрические скважины проектируются, буря</w:t>
      </w:r>
      <w:r>
        <w:t>тся на выявленных структурах с целью регионального изучения недр, увязкой с другими методами региональных исследований; более детального изучения геологического строения разреза с полным отбором керна и максимальными данными по ГИС для выявления наиболее п</w:t>
      </w:r>
      <w:r>
        <w:t>ерспективных площадей с точки зрения проведения на них геолого-поисковых работ.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7.4. Структурные скважины проектируются, бурятся и служат для тщательного изучения структур, выявленных при бурении опорных и параметрических скважин, и подготовки проекта поис</w:t>
      </w:r>
      <w:r>
        <w:t>ково-разведочного бурения на эти структуры.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7.5. Поисково-оценочные скважины проектируются и бурятся на подготовленных предыдущим бурением и геолого-физическими исследованиями перспективных структурах, площадях с целью опоискования и открытия новых месторо</w:t>
      </w:r>
      <w:r>
        <w:t>ждений или новых залежей на ранее открытых месторождениях.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7.6. Разведочные скважины проектируются и бурятся на площадях с установленной промышленной нефтегазоносностью с целью геологическ</w:t>
      </w:r>
      <w:r>
        <w:t>ого изучения и оконтуривания залежей УВС, получения исходной информации для подсчета запасов УВС и составления технического проекта.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7.7. Эксплуатационные скважины проектируются и бурятся при реализации ППЭ и промышленной разработке месторождения: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добывающ</w:t>
      </w:r>
      <w:r>
        <w:t>ие (нефтяные и газовые) - для организации системы разработки и извлечения из залежи нефти, газа, конденсата и воды;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нагнетательные - для проведения воздействия на залежь с целью ППД путем закачки воды, газа (их смеси) или других рабочих агентов вытеснения,</w:t>
      </w:r>
      <w:r>
        <w:t xml:space="preserve"> для закачки газа или попутных полезных компонентов второй группы, выделяемых из полезных ископаемых, с целью временного хранения, а также для добычи УВС в период отработки.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7.8. Специальные скважины проектируются и бурятся для взрывных работ при сейсмичес</w:t>
      </w:r>
      <w:r>
        <w:t>ких методах поисков и разведки месторождения, добычи технической воды (водозаборные скважины), сброса промысловых вод в непродуктивные поглощающие пласты (поглощающие скважины), разведки и добычи воды, подготовки структур для подземных газохранилищ и закач</w:t>
      </w:r>
      <w:r>
        <w:t>ки в них газа, ликвидации открытых фонтанов нефти и газа, экологического мониторинга подземных (питьевых) вод, перекачки рабочего агента в нагнетательные скважины и других целей.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7.9. Контрольные наблюдательные скважины проектируются и бурятся для осуществ</w:t>
      </w:r>
      <w:r>
        <w:t>ления систематического контроля над изменением межфлюидальных (водонефтяного, газонефтяного, газоводяного) контактов и за изменением других параметров (в том числе, нефтегазоводонасыщенности пласта) в процессе разработки залежи.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Контрольные пьезометрически</w:t>
      </w:r>
      <w:r>
        <w:t>е скважины проектируются и бурятся для контроля за изменением пластового давления и температуры.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7.10. Назначение скважин может меняться в процессе разработки месторождения на основании утвержденных решений технического проекта или в соответствии с </w:t>
      </w:r>
      <w:hyperlink w:anchor="Par226" w:tooltip="в) изменение местоположения, назначения, конструкции проектных скважин на локальных (не более 10% от проектного фонда скважин) участках продуктивного пласта, входящих в единый ЭО по результатам уточнения геологического строения или изысканий на местности;" w:history="1">
        <w:r>
          <w:rPr>
            <w:color w:val="0000FF"/>
          </w:rPr>
          <w:t>подпунктом "в" пункта 5.16</w:t>
        </w:r>
      </w:hyperlink>
      <w:r>
        <w:t xml:space="preserve"> настоящих Правил.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VIII. Конструкции скважин, технологии вскрытия, крепления,</w:t>
      </w:r>
    </w:p>
    <w:p w:rsidR="00000000" w:rsidRDefault="00837FB8">
      <w:pPr>
        <w:pStyle w:val="ConsPlusTitle"/>
        <w:jc w:val="center"/>
      </w:pPr>
      <w:r>
        <w:t>перфорации продуктивных пластов и освоения скважин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8.1. Бурение поисковых, разведочных, эксплуатационных и других по назначению с</w:t>
      </w:r>
      <w:r>
        <w:t>кважин на месторождении осуществляется в соответствии с рабочим проектом производства буровых работ (индивидуальным или групповым), разработанным и утвержденным в соответствии с законодательством Российской Федерации.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8.2. Требования по технологиям вскрыти</w:t>
      </w:r>
      <w:r>
        <w:t>я продуктивных пластов бурением и крепления скважин, вскрытия продуктивных пластов перфорацией и освоения скважин, представленные в техническом проекте разработки месторождения, кроме типов профилей скважин, уточняются в рабочем проекте на бурение скважины</w:t>
      </w:r>
      <w:r>
        <w:t xml:space="preserve"> и плане на освоение скважины.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8.3. Рабочий проект на бурение скважин (индивидуальный или групповой) всех назначений должен обеспечить надежную конструкцию скважин, качественное первичное вскрытие продуктивных пластов, крепление и разобщение пластов, возмо</w:t>
      </w:r>
      <w:r>
        <w:t>жность проведения ГИС, ГДИ и ремонтных работ, выполнение всех требований технического проекта разработки месторождения.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8.4. Геологическая служба пользователя недр, в соответствии с общей рекомендацией технического проекта разработки месторождения (ЭО), ус</w:t>
      </w:r>
      <w:r>
        <w:t>танавливает профиль скважины в продуктивном пласте (ЭО), контролирует его проводку по данным ГИС и назначает интервалы перфорации или установки элементов конструкции забоя.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8.5. Контроль интервала перфорации должен осуществляться геофизическими методами.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</w:t>
      </w:r>
      <w:r>
        <w:t xml:space="preserve"> соответствии с техническим проектом и данными ГИС в каждой скважине, геологическая служба пользователя недр может назначать интервал вторичного вскрытия и виды оборудования забоя скважины.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8.6. Комплекс работ по освоению, включая работы по сохранению, вос</w:t>
      </w:r>
      <w:r>
        <w:t>становлению и повышению продуктивности пласта, необходимые для их реализации технические средства и материалы должны быть предусмотрены в рабочем проекте на бурение скважин. Освоение скважин проводят по индивидуальным и (или) типовым планам, составленным п</w:t>
      </w:r>
      <w:r>
        <w:t>ользователем недр, в которых должны быть предусмотрены условия, обеспечивающие сохранение целостности цементного камня за эксплуатационной колонной за пределами интервала освоения ЭО, а также мероприятия по предотвращению: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деформации эксплуатационной ко</w:t>
      </w:r>
      <w:r>
        <w:t>лонны;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прорыва пластовых вод (подошвенных, верхних, нижних), газа из газовой шапки;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открытых нефтегазоводопроявлений;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снижения проницаемости призабойной зоны пласта;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загрязнения недр.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8.7. Ответственность за соблюдение проектов и качество бурен</w:t>
      </w:r>
      <w:r>
        <w:t>ия скважин возлагается на пользователя недр.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8.8. Бурение скважины считается законченным после выполнения всех работ, предусмотренных рабочим проектом на бурение скважины.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bookmarkStart w:id="15" w:name="Par304"/>
      <w:bookmarkEnd w:id="15"/>
      <w:r>
        <w:t>IX. Учет фонда скважин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9.1. Учет принятых на баланс нефтегазодобывающей организации скважин осуществляется в соответствии с требованиями настоящей главы и утвержденными формами статистической отчетности Российской Федерации.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9.2. К эксплуатационному фонду относятся добывающие и </w:t>
      </w:r>
      <w:r>
        <w:t>нагнетательные скважины, находящиеся в отчетный период в действующем, бездействующем фонде или в ожидании освоения.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9.3. Действующими считаются скважины, дававшие продукцию (находившиеся под закачкой) в последнем месяце отчетного периода независимо от числ</w:t>
      </w:r>
      <w:r>
        <w:t>а дней их работы в этом месяце.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9.4. В действующем фонде находятся дающие продукцию (находящиеся под закачкой) скважины и остановленные по состоянию на конец месяца скважины из числа дававших продукцию (находившихся под закачкой) в этом месяце.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9.5. Бездей</w:t>
      </w:r>
      <w:r>
        <w:t>ствующими считаются скважины, не дававшие продукцию (не находившиеся под закачкой) в последнем месяце отчетного периода.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9.6. В бездействующем фонде отдельно учитываются скважины, остановленные в отчетном году и до начала года.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9.7. К скважинам, находящимс</w:t>
      </w:r>
      <w:r>
        <w:t>я в освоении и ожидании освоения после бурения, относятся скважины, законченные бурением, принятые в фонд нефтегазодобывающей организации и не дававшие продукцию (не находившиеся под закачкой) в отчетном периоде.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9.8. Допустимая величина бездействующего фо</w:t>
      </w:r>
      <w:r>
        <w:t>нда скважин по состоянию на конец календарного года в процентах от количества скважин эксплуатационного фонда устанавливаются в следующих величинах: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Фактическое количество скважин в эксплуатационном фонде скважин на месторождении по состоянию на конец календарного года, штук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Допустимая величина бездействующего фонда скважин на месторождении от ко</w:t>
            </w:r>
            <w:r>
              <w:t>личества скважин в эксплуатационном фонде скважин на месторождении по состоянию на конец календарного года, %</w:t>
            </w:r>
          </w:p>
        </w:tc>
      </w:tr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менее 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устанавливается в соответствии с фактически достигнутой величиной</w:t>
            </w:r>
          </w:p>
        </w:tc>
      </w:tr>
      <w:tr w:rsidR="00000000">
        <w:tc>
          <w:tcPr>
            <w:tcW w:w="9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20.09.2019 N 638)</w:t>
            </w:r>
          </w:p>
        </w:tc>
      </w:tr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от 11 до 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20,0</w:t>
            </w:r>
          </w:p>
        </w:tc>
      </w:tr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от 51 до 200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15,0</w:t>
            </w:r>
          </w:p>
        </w:tc>
      </w:tr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от 201 до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12,5</w:t>
            </w:r>
          </w:p>
        </w:tc>
      </w:tr>
      <w:tr w:rsidR="00000000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более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10,0</w:t>
            </w:r>
          </w:p>
        </w:tc>
      </w:tr>
    </w:tbl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9.</w:t>
      </w:r>
      <w:r>
        <w:t>9. Для газовых и газоконденсатных месторождений допустимая величина бездействующего фонда скважин в период сокращения добычи газа, связанный с ограничением поставок газа в единую газотранспортную систему, устанавливается в соответствии с фактически достигн</w:t>
      </w:r>
      <w:r>
        <w:t>утой величиной при условии соблюдения допустимых технологических режимов их эксплуатации.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9.1</w:t>
      </w:r>
      <w:r>
        <w:t>0. Для месторождений с сезонной эксплуатацией допустимые отклонения по бездействующему фонду скважин не устанавливаются.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9.11. Скважины, выбывшие из эксплуатационного фонда, могут переводиться в контрольный фонд для проведения исследовательских работ или в</w:t>
      </w:r>
      <w:r>
        <w:t xml:space="preserve"> фонд консервации.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9.12. Скважины, выбывшие из эксплуатационного фонда и (или) выполнившие свое проектное назначение, на одном из ЭО разработки могут использоваться на другом ЭО (возвратный фонд).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9.13. Скважины, выполнившие свое проектное назначение и (ил</w:t>
      </w:r>
      <w:r>
        <w:t>и) дальнейшее использование которых нецелесообразно или невозможно, в том числе по техническим причинам, подлежат ликвидации (включению в фонд ожидающих ликвидацию и ликвидированных скважин).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9.14. Учет фонда скважин по назначению и состоянию ведется ежемесячно на основе документов первичного учета (в том числе: суточных рапортов о работе и просто</w:t>
      </w:r>
      <w:r>
        <w:t>ев скважин, актов о принятии скважин на баланс юридического лица, осуществляющего добычу газа, и о вводе их в эксплуатацию, документов о консервации и ликвидации скважин). По окончании каждого месяца эти документы обобщаются, и фиксируется состояние всех с</w:t>
      </w:r>
      <w:r>
        <w:t>кважин на конец месяца.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При составлении отчета по </w:t>
      </w:r>
      <w:hyperlink r:id="rId74" w:history="1">
        <w:r>
          <w:rPr>
            <w:color w:val="0000FF"/>
          </w:rPr>
          <w:t>форме 2-ТЭК (газ)</w:t>
        </w:r>
      </w:hyperlink>
      <w:r>
        <w:t xml:space="preserve"> данные ежемесячного учета группируются в соответствии с показателями формы стати</w:t>
      </w:r>
      <w:r>
        <w:t>стического наблюдения.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Скважины, в которых одновременно эксплуатируются два или более объектов, учитываются в соответствующем эксплуатационном фонде как одна скважина.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X. Ввод скважин в эксплуатацию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 xml:space="preserve">10.1. При вводе скважины в эксплуатацию и включении ее </w:t>
      </w:r>
      <w:r>
        <w:t>в состав основных производственных фондов недропользователь должен иметь следующие документы на бумажном и электронном носителях: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рабочий проект на бурение скважины и геолого-технический наряд;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акты о начале и окончании бурения скважины;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акт об из</w:t>
      </w:r>
      <w:r>
        <w:t>мерении альтитуды устья обсадной колонны и стола ротора;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материалы всех ГИС и заключения по ним;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замеры длин труб (мера труб), информацию о диаметре, толщине стенки и марке стали по интервалам, необходимые характеристики для неметаллических колонн;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е) акты на цементирование обсадных колонн, лабораторные анализы качества цемента и результаты измерения плотности цементного раствора в процессе цементирования, данные о выходе цемента на устье или высоте подъема цемента (диаграмму цементомера), мера труб,</w:t>
      </w:r>
      <w:r>
        <w:t xml:space="preserve"> компоновка колонн, данные об удельном весе бурового раствора в скважине перед цементированием;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ж) акты испытания на герметичность всех обсадных колонн, а также устьевого и при необходимости внутрискважинного оборудования;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з) планы работ по опробованию или</w:t>
      </w:r>
      <w:r>
        <w:t xml:space="preserve"> освоению объекта;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и) акты на перфорацию обсадной колонны, с указанием интервала перфорации, типа и способа перфорации, количества отверстий;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к) акты опробования или освоения каждого ЭО, с приложением данных исследования скважин (например, дебиты скважины </w:t>
      </w:r>
      <w:r>
        <w:t>с указанием объемов добычи флюидов и обводненности продукции, давлений пластового, забойного, устьевого, затрубного, межтрубного, анализы нефти, газа, конденсата и воды, данными ГДИ, промысловые ГИС);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л) заключения (акты) на испытания пластов в процессе бу</w:t>
      </w:r>
      <w:r>
        <w:t>рения;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м) мера и тип насосно-компрессорных труб с указанием оборудования низа, глубины установки пусковых клапанов с приложением полной схемы внутрискважинного оборудования;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н) геологический журнал с описанием всего процесса бурения и освоения скважины;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о)</w:t>
      </w:r>
      <w:r>
        <w:t xml:space="preserve"> документация о результатах геолого-технического контроля в процессе бурения;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п) паспорт скважины с данными о процессе бурения, нефтегазоводопроявлениях и поглощениях, о конструкции скважины;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р) акты о натяжении колонн (если натяжение предусмотрено проекто</w:t>
      </w:r>
      <w:r>
        <w:t>м);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с) акты об оборудовании устья скважины;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т) акты о сдаче подрядчиком заказчику геологической и технической документации по скважине.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XI. Требования к эксплуатации скважин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11.1. Эксплуатация добывающих скважин осуществляется фонтанным и механизированны</w:t>
      </w:r>
      <w:r>
        <w:t xml:space="preserve">м способом с подъемом пластовых флюидов по насосно-компрессорным трубам при соблюдении действующих </w:t>
      </w:r>
      <w:hyperlink r:id="rId75" w:history="1">
        <w:r>
          <w:rPr>
            <w:color w:val="0000FF"/>
          </w:rPr>
          <w:t>норм и правил</w:t>
        </w:r>
      </w:hyperlink>
      <w:r>
        <w:t xml:space="preserve"> промышленной безопасности и безопас</w:t>
      </w:r>
      <w:r>
        <w:t>ного ведения работ, связанных с пользованием недрами, в нефтегазодобывающей отрасли.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Способы эксплуатации скважин обосновываются в техническом проекте разработки месторождения.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11.2. Глубину спуска и типоразмеры скважинного оборудования указывают в планах </w:t>
      </w:r>
      <w:r>
        <w:t>ввода скважин в эксплуатацию (освоения) или в планах проведения ремонтных работ, в соответствии с технологическими и техническими расчетами.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11.3. Для эксплуатации добывающей скважины устанавливается технологический режим, обеспечивающий плановые отборы не</w:t>
      </w:r>
      <w:r>
        <w:t>фти, газа, конденсата и жидкости, предусмотренные техническим проектом при соблюдении условий надежности и безопасности эксплуатации скважин.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11.4. Технологический режим работы добывающих скважин характеризуется следующими основными параметрами: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пластов</w:t>
      </w:r>
      <w:r>
        <w:t>ым, забойным и устьевым давлениями, а для месторождений, содержащих свободный газ, также устьевой температурой;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Минприроды России от</w:t>
      </w:r>
      <w:r>
        <w:t xml:space="preserve">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дебитом жидкости (газа), обводненностью продукции, газовым фактором (выходом конденсата) и количеством механических примесей в продукции;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типоразмерами установленного внутрискважинного оборудования, режимами и временем его работы.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11.5. Для эксплуатации нагнетательной скважины устанавливается технологический режим, который обеспечивает закачку требуемых объемов рабочего агента в планируемом периоде, соблюдение условий надежности и безопасности эксплуатации скважин, предусмотренных т</w:t>
      </w:r>
      <w:r>
        <w:t>ехническим проектом и нормами закачки.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11.6. Технологический режим работы нагнетательных скважин характеризуется следующими основными параметрами: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пластовым, забойным и устьевым давлением;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б) приемистостью скважины и количеством механических примесей и </w:t>
      </w:r>
      <w:r>
        <w:t>нефти в закачиваемом агенте;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температурой закачиваемого агента (для паронагнетательных скважин);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типоразмерами установленного внутрискважинного оборудования, режимами и временем его работы.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11.7. При одновременно-раздельной эксплуатации нескольких ЭО</w:t>
      </w:r>
      <w:r>
        <w:t xml:space="preserve"> в скважине должен быть обеспечен раздельный учет добываемой продукции и проведение промысловых исследований.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11.8. При одновременно-раздельной закачке рабочего агента в несколько ЭО в скважине должен быть обеспечен раздельный учет и проведение исследовани</w:t>
      </w:r>
      <w:r>
        <w:t>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11.9. Технологические режимы эксплуатации скважин назначает и утверждает пользователь недр, исходя из обеспечения проектных показателей не реже, чем один раз в квартал. Технологические режимы составляются с учетом утвержденного плана проведения ГТМ.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11.</w:t>
      </w:r>
      <w:r>
        <w:t>10. В процессе эксплуатации скважин должен быть обеспечен регулярный контроль технического состояния эксплуатационной колонны, работы оборудования, получение исходных данных, необходимых для оптимизации технологического режима.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11.11. Все первичные материа</w:t>
      </w:r>
      <w:r>
        <w:t xml:space="preserve">лы контроля за эксплуатацией скважины и скважинного оборудования (на бумажных, магнитных и электронных носителях) подлежат обязательному хранению в фондах недропользователя на протяжении всего периода разработки месторождения (исключая оперативные журналы </w:t>
      </w:r>
      <w:r>
        <w:t>ежесуточного учета нефти, суточные рапорта по эксплуатации скважин, эхограммы и динамограммы, срок хранения которых ограничивается тремя годами либо сроком, позволяющим обеспечить соблюдение норм законодательства Российской Федерации о налогах и сборах).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XII. Ремонт скважин, наблюдение и регулирование процесса</w:t>
      </w:r>
    </w:p>
    <w:p w:rsidR="00000000" w:rsidRDefault="00837FB8">
      <w:pPr>
        <w:pStyle w:val="ConsPlusTitle"/>
        <w:jc w:val="center"/>
      </w:pPr>
      <w:r>
        <w:t>разработки месторождений (залежей)</w:t>
      </w:r>
    </w:p>
    <w:p w:rsidR="00000000" w:rsidRDefault="00837FB8">
      <w:pPr>
        <w:pStyle w:val="ConsPlusNormal"/>
        <w:jc w:val="center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12.1. Ремонт скважин подразделяется на капитальный и текущий.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12.2. При производстве капитального ремонта скважин (далее - КРС) или текущего ремонта скважин (далее - ТРС) не допускается применение технологических жидкостей, безвозвратно снижающих проницаем</w:t>
      </w:r>
      <w:r>
        <w:t>ость призабойной зоны пласта (кроме изоляционных работ по отключению или водоограничению). В случае применения технологических жидкостей, снижающих проницаемость призабойной зоны пласта, в дальнейшем должны применяться мероприятия по ее восстановлению. Обо</w:t>
      </w:r>
      <w:r>
        <w:t>рудование устья и ствола скважины, плотность технологических жидкостей должны исключать открытые нефте-, газо- и водопроявления.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12.3. КРС, ТРС производят в соответствии с действующими нормами и правилами промышленной безопасности в нефтегазодобывающей отр</w:t>
      </w:r>
      <w:r>
        <w:t>асли; требованиями охраны недр и окружающей среды, а также правилами и инструкциями по эксплуатации применяемого оборудования и реализации технологических процессов.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12.4. Необходимость применения мероприятий по КРС, ТРС определяется текущим состоянием экс</w:t>
      </w:r>
      <w:r>
        <w:t>плуатации скважины, и осуществляется в соответствии со специальными планами, утвержденными недропользователем.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12.5. Работы по КРС, ТРС оформляют описанием ремонта (для КРС) и актом (для ТРС) по установленным формам и регистрируют в деле скважины.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12.6. На</w:t>
      </w:r>
      <w:r>
        <w:t>блюдение и регулирование процесса разработки скважин: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12.6.1. Наблюдение за разработкой залежей УВС осуществляется в целях: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оценки эффективности принятой системы разработки ЭО в целом и отдельных технологических мероприятий по ее осуществлению;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получения информации, необходимой для регулирования процесса разработки и проектирования мероприятий по его совершенствованию.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</w:t>
      </w:r>
      <w:r>
        <w:t>.6.2. Виды, объемы и периодичность исследований в процессе разработки месторождения определяются техническим проектом в соответствии с утвержденными методическими рекомендациями, в отдельных случаях, рабочими программами.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12.6.3. Для выполнения работ по на</w:t>
      </w:r>
      <w:r>
        <w:t>блюдению за процессом разработки и технологическими режимами эксплуатации скважины должны быть оборудованы специальными измерительными приборами в соответствии с техническим проектом.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12.6.4. Для контроля за параметрами эксплуатации скважины на устье устанавливают приборы (устройства) для измерения давления и устройства для отбора проб добываемой </w:t>
      </w:r>
      <w:r>
        <w:t>продукции. Обвязка скважин должна обеспечивать возможность индивидуального замера дебита жидкости и определение дебита газа, отбора проб добываемой продукции, замера устьевых давлений, эхометрирования, динамометрирования (для скважин оборудованных штанговы</w:t>
      </w:r>
      <w:r>
        <w:t>ми глубинными насосами), спуска глубинных приборов для скважин фонтанного фонда.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12.6.5. Для наблюдения за режимом эксплуатации нагнетательных скважин на устье устанавливают приборы (устройства) для измерения давлений. Обвязка скважин должна обеспечивать и</w:t>
      </w:r>
      <w:r>
        <w:t>ндивидуальный замер объемов закачки (приемистости) устьевых давлений, спуск глубинных приборов.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12.6.6. Эксплуатация скважин, не оборудованных для вышеуказанных замеров и исследований, не допускается.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12.7. К основным методам и мероприятиям по регулировани</w:t>
      </w:r>
      <w:r>
        <w:t>ю разработки относятся: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изменение режимов эксплуатации добывающих скважин (включая увеличе</w:t>
      </w:r>
      <w:r>
        <w:t>ние или ограничение отборов газа или жидкости, отключение высокообводненных скважин или скважин с аварийными прорывами свободного газа, форсированный отбор жидкости, периодическое изменение отборов);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изменение режимов эксплуатации нагнетательных скважин</w:t>
      </w:r>
      <w:r>
        <w:t xml:space="preserve"> (включая увеличение или ограничение приемистости рабочего агента, перераспределение приемистости по скважинам, циклическая закачка);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увеличение гидродинамического совершенства скважин (например, дополнительная перфорация, различные методы воздействия н</w:t>
      </w:r>
      <w:r>
        <w:t>а призабойную зону пласта, гидравлический разрыв пласта);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изоляция или ограничение различными технологиями непроизводительного водо(газо)притока в скважине (цементная заливка, создание внутри пласта искусственного непроницаемого экрана, применение химре</w:t>
      </w:r>
      <w:r>
        <w:t>агентов);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применение потокоотклоняюших технологий;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е) изменение интервалов перфорации в рамках ЭО;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ж) применение одновременно - раздельной эксплуатации скважин и одновременно - раздельной закачки воды на многопластовых месторождениях.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12.7.1. Совершенст</w:t>
      </w:r>
      <w:r>
        <w:t>вование и развитие системы заводнения в соответствии со структурой текущих остаточных запасов (преобразование одной системы заводнения в другую, очаговое заводнение, перенос фронта нагнетания), предусмотренной в техническом проекте.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12.8. Для конкретных ге</w:t>
      </w:r>
      <w:r>
        <w:t>олого-физических условий и для различных стадий разработки проектируется своя система контроля и регулирования разработки (учет добычи, закачки, их регулирование) в рамках рекомендуемого варианта разработки.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XIII. Система обустройства месторождений, сбор,</w:t>
      </w:r>
      <w:r>
        <w:t xml:space="preserve"> подготовка</w:t>
      </w:r>
    </w:p>
    <w:p w:rsidR="00000000" w:rsidRDefault="00837FB8">
      <w:pPr>
        <w:pStyle w:val="ConsPlusTitle"/>
        <w:jc w:val="center"/>
      </w:pPr>
      <w:r>
        <w:t>и транспортировка углеводородов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13.1. Проектирование объектов обустройства месторождения осуществляется на основании технического проекта разработки месторождения, а также технического задания, утвержденных недропользователем с соблюдением дей</w:t>
      </w:r>
      <w:r>
        <w:t xml:space="preserve">ствующих </w:t>
      </w:r>
      <w:hyperlink r:id="rId82" w:history="1">
        <w:r>
          <w:rPr>
            <w:color w:val="0000FF"/>
          </w:rPr>
          <w:t>норм и правил</w:t>
        </w:r>
      </w:hyperlink>
      <w:r>
        <w:t xml:space="preserve"> промышленной безопасности в нефтегазодобывающей отрасли.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13.2. Технические решения по обустройству м</w:t>
      </w:r>
      <w:r>
        <w:t>есторождения, рекомендованные в техническом проекте разработки месторождения или в дополнениях к нему, могут уточняться на стадии проектирования объектов обустройства при условии сохранения принятых систем разработки ЭО.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13.3. Проектирование обустройства м</w:t>
      </w:r>
      <w:r>
        <w:t>есторождения по ТСР, ТПР допускается выполнять на основе прогнозных показателей разработки месторождения, рассчитанных в границах категорий запасов A + B1 + B2, а по ППЭ - категорий запасов C1 + C2.</w:t>
      </w:r>
    </w:p>
    <w:p w:rsidR="00000000" w:rsidRDefault="00837FB8">
      <w:pPr>
        <w:pStyle w:val="ConsPlusNormal"/>
        <w:jc w:val="both"/>
      </w:pPr>
      <w:r>
        <w:t xml:space="preserve">(п. 13.3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13.4. В составе проектной документации по обустройству промысловых объектов определяют инженерно-технические решения по: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системам сбора и в</w:t>
      </w:r>
      <w:r>
        <w:t>нутрипромыслового транспорта нефти, газа (конденсата) и пластовой воды;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технологическим установкам, оборудованию и аппаратуре для промысловой подготовки нефти, газа, газового конденсата к транспорту или использованию на собственные нужды промысла;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пр</w:t>
      </w:r>
      <w:r>
        <w:t>едупреждению выпадения асфальтосмолопарафиновых отложений, солеотложений и гидратообразования в промысловых коммуникациях и оборудовании эксплуатационных скважин.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технологическим мероприятиям и техническим средствам для предупреждения коррозии оборудова</w:t>
      </w:r>
      <w:r>
        <w:t>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технологическим мероприятиям и техническим средствам для контроля и регулирования работы добывающих и нагнетательных скважин;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е) средствам контроля и учета добычи нефти, газа, газового конденсата, воды по скважине, кусту скважин, установкам комплек</w:t>
      </w:r>
      <w:r>
        <w:t>сной подготовки газа (далее - УКПГ), установкам предварительной подготовки газа (далее - УППГ) и ЭО в целом;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ж) оборудованию и приборам для определения кондиций подготовленных нефти, газа и конденсата;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з) обеспечению проектного уровня использования попутно</w:t>
      </w:r>
      <w:r>
        <w:t>го газа;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и) водоснабжению, промысловой канализации, обработке и утилизации промышленных стоков;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к) средствам общепромысловой связи, системам автоматики и телемеханики, централизованного контроля и управления, мероприятиям по охране труда и промышленной без</w:t>
      </w:r>
      <w:r>
        <w:t>опасности;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л) электроснабжению и теплоснабжению промысловых объектов.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13.5. При проектировании обустройства промыслов на различных площадях крупного месторождения либо его отдельных ЭО учитывают имеющуюся промышленную инфраструктуру и (или) положения генер</w:t>
      </w:r>
      <w:r>
        <w:t>альной схемы обустройства месторождения (группы месторождений).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13.6. Система сбора нефти и (или) газа должна обеспечивать и предусматривать: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а) возможность регулирования распределения отборов по эксплуатационному фонду скважин для обеспечения равномерной </w:t>
      </w:r>
      <w:r>
        <w:t>выработки запасов УВС залежи по площади и разрезу.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минимизацию потерь пластовой энергии.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технологически обоснованное количество скважин, подключаемых к газосборному пункту.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возможность проведения газогидродинамических исследований и отбор проб пла</w:t>
      </w:r>
      <w:r>
        <w:t>стовых флюидов скважин (групп скважин) для залежей, содержащих свободный газ.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д) устойчивость добычи к рискам аварий и чрезвычайных ситуаций (например, применение кольцевых схем промыслового газосборного коллектора), сохранение герметичности и минимизацию </w:t>
      </w:r>
      <w:r>
        <w:t>потерь УВС при авариях.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е) минимизацию технологических потерь добываемого сырья при обслуживании и профилактических работах.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ж) возможность ее реконструкции при изменении условий добычи.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з) возможность совместного транспорта сырья, добываемого из различных</w:t>
      </w:r>
      <w:r>
        <w:t xml:space="preserve"> эксплуатационных объектов или объектов разработки.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и) использование энергии высоконапорных газовых скважин для транспорта низконапорного газа.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13.7. Совместный сбор продукции, добываемой из различных ЭО, не допускается, если: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подключаемый объект по содержанию коррозионно-агрессивных компонентов (сероводорода, углекислоты, органических кислот) не соответствует характеристикам существующей системы сбора;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рабочее давление в системе сбора существенно снижает добывные возможно</w:t>
      </w:r>
      <w:r>
        <w:t>сти скважин объекта с меньшим пластовым давлением.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13.8. Эксплуатация установок подготовки нефти, газа и конденсата проводится в строгом соответствии с утвержденными технологическими регламентами.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13.9. Для крупных длительно разрабатываемых месторождений п</w:t>
      </w:r>
      <w:r>
        <w:t>риродного газа при неравномерном снижении пластового давления должны рассматриваться варианты реконструкции системы сбора с раздельным сбором продукции скважин с высоким давлением и низконапорного газа.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13.10. Строительство объектов системы промыслового сб</w:t>
      </w:r>
      <w:r>
        <w:t>ора, подготовки и транспорта продукции осуществляется в соответствии с проектной документацией на обустройство месторождения.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XIV. Учет добычи и отчетность при разработке месторождений</w:t>
      </w:r>
    </w:p>
    <w:p w:rsidR="00000000" w:rsidRDefault="00837FB8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14.1. Оперативный учет добытой нефти по скважинам осуществляют на основании данных замера дебита скважин по жидкости с помощью замерных устройств с учетом отработ</w:t>
      </w:r>
      <w:r>
        <w:t>анного скважинами времени и процентного содержания попутно добываемой воды с применением сертифицированного оборудования.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14.2. Оперативный учет добычи УВС и содержания воды в продукции осуществляют на основании данных замера с помощью замерных устройств с</w:t>
      </w:r>
      <w:r>
        <w:t xml:space="preserve"> применением сертифицированного оборудования.</w:t>
      </w:r>
    </w:p>
    <w:p w:rsidR="00000000" w:rsidRDefault="00837FB8">
      <w:pPr>
        <w:pStyle w:val="ConsPlusNormal"/>
        <w:jc w:val="both"/>
      </w:pPr>
      <w:r>
        <w:t xml:space="preserve">(п. 14.2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14.3. Оперативный учет добычи газа и ко</w:t>
      </w:r>
      <w:r>
        <w:t>нденсата, добываемых попутно с нефтью, осуществляют на основании учета добычи нефти и суммы замеров газа и конденсата на газовых линиях всех ступеней сепарации с учетом объема газа, оставшегося в нефти после последней ступени сепарации.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14.4. Замеры газовы</w:t>
      </w:r>
      <w:r>
        <w:t>х факторов и объемов сепарированного газа на всех ступенях сепарации, дебитов газа производят по графику, составленному в соответствии с комплексом промысловых гидродинамических исследований, предусмотренных в техническом проекте разработки месторождения.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14.5. График замеров утверждается пользователем недр.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14.6. При содержании в газе попутных компонентов, запасы которых учтены в ГБЗ, их добычу учитывают по компонентам.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14.7. Количество добытых за месяц по ЭО и месторождению нефти, конденсата, газа и воды </w:t>
      </w:r>
      <w:r>
        <w:t>определяют путем суммирования отчетных данных по скважинам.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14.8. Количество добытых из каждой скважины за месяц нефти, конденсата и газа по данным оперативного учета для целей отчетности нормируют по данным коммерческих и оперативных узлов учета, потерь и</w:t>
      </w:r>
      <w:r>
        <w:t xml:space="preserve"> использования УВС на собственные нужды. Количество добытой из каждой скважины за месяц воды нормируют по данным оперативных узлов учета системы сбора и подготовки добываемой продукции.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14.9. Пользователь недр обеспечивает достоверность данных учета добычи</w:t>
      </w:r>
      <w:r>
        <w:t xml:space="preserve"> УВС и воды, а также закачки рабочих агентов.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XV. Документация по разработке месторождения</w:t>
      </w:r>
    </w:p>
    <w:p w:rsidR="00000000" w:rsidRDefault="00837FB8">
      <w:pPr>
        <w:pStyle w:val="ConsPlusTitle"/>
        <w:jc w:val="center"/>
      </w:pPr>
      <w:r>
        <w:t>и эксплуатации скважин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15.1. Документация по разработке месторождения и эксплуатации скважин составляется недропользователем с целью систематизации и хранения информации, необходимой для: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перспективного и оперативного планирования технологических показателей разработки местор</w:t>
      </w:r>
      <w:r>
        <w:t>ождения и составления отчетных документов по выполнению проектных решений;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проектирования разработки месторождения;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обоснования и планирования мероприятий, направленных на повышение эффективности систем разработки месторождения (ЭО), а также эксплуат</w:t>
      </w:r>
      <w:r>
        <w:t>ации отдельных скважин, установок и оборудования, используемых в технологическом процессе добычи углеводородов;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контроля и мониторинга разработки месторождения (ЭО), оценки эффективности мероприятий по совершенствованию и регулированию процесса разработ</w:t>
      </w:r>
      <w:r>
        <w:t>ки;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учета и списания запасов нефти и свободного газа и попутных полезных компонентов;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е) планирования и контроля эффективности мероприятий по охране недр.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15.2. Документация, ведущаяся пользователем недр, должна соответствовать установленным единым форм</w:t>
      </w:r>
      <w:r>
        <w:t>ам и храниться на бумажных, магнитных, электронных или оптических носителях.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15.3. По видам документация подразделяется на первичную, сводную и обобщающую.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15.4. Первичная документация включает данные различных измерений и исследований, имеющих отношение к</w:t>
      </w:r>
      <w:r>
        <w:t xml:space="preserve"> технологическим процессам добычи УВС и воды, закачки агентов вытеснения и ППД, акты о проведении различных видов работ в скважинах и на других нефте- и газопромысловых объектах. Первичная документация ведется недропользователем.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15.5. К основным первичным</w:t>
      </w:r>
      <w:r>
        <w:t xml:space="preserve"> документам относятся: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акты опробования и испытания скважин;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описание кернового материала;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отчеты по результатам лабораторного исследования керна (стандартные и специальные методы);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результаты ГИС (в том числе: определения коллекторских свойств</w:t>
      </w:r>
      <w:r>
        <w:t xml:space="preserve"> и параметров пластов);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результаты лабораторных исследований нефти, конденсата, газа и воды;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е) данные литолого-фациальных исследований пластов;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ж) журнал замеров продукции скважин и закачки вытесняющих агентов;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з) суточные рапорты или отчеты по эксплуа</w:t>
      </w:r>
      <w:r>
        <w:t>тации скважин, полученные по системе телемеханики;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и) результаты гидродинамических, газоконденсатных, геохимических и промыслово-геофизических и сейсмических исследований (включая пластовое и забойное давление, профили притока, поглощения, температуры);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к)</w:t>
      </w:r>
      <w:r>
        <w:t xml:space="preserve"> акты о перфорации скважин;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л) акты о выполненных работах по ТРС и КРС, а также материалы по проведенным в стволе скважин воздействиям на призабойную зону пласта (включая возврат, дострел, воздействие на призабойную зону пласта) без подъема (допуска) подзе</w:t>
      </w:r>
      <w:r>
        <w:t>много оборудования, очистка обсадных и насосно-компрессорных труб.</w:t>
      </w:r>
    </w:p>
    <w:p w:rsidR="00000000" w:rsidRDefault="00837FB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Минприроды России от 20.09.2019 N 638)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15.6. Сводная документация</w:t>
      </w:r>
      <w:r>
        <w:t xml:space="preserve"> систематизирует и объединяет информацию, содержащуюся в первичной документации, и заполняется в соответствующих структурных подразделениях недропользователя и подрядных организациях.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15.7. К основным сводным документам относят: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дело скважины (паспорт с</w:t>
      </w:r>
      <w:r>
        <w:t>кважины, акты и отчеты обо всех мероприятиях, проводимых на скважине);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технологические режимы работы скважин;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сводные ведомости (ежемесячные отчеты), в том числе: по отбору нефти, газа, конденсата, воды, обводненности, учету времени работы скважины;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каталоги, таблицы, графики, диаграммы;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материалы, полученные от организаций, проводивших разведку, бурение скважин, подсчет запасов УВС, проектирование разработки и обустройства.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15.8. Обобщающая документация содержит обработанную информацию, содержа</w:t>
      </w:r>
      <w:r>
        <w:t>щуюся в первичной и сводной документации по укрупненным объектам и показателям, и ведется пользователем недр.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15.9. К основным, обобщающим документам, относят: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форма статистической отчетности по движению запасов УВС;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б) геологические отчеты;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в) отчеты п</w:t>
      </w:r>
      <w:r>
        <w:t>о состоянию и движению фонда скважин;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г) паспорт месторождения;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д) геологические профили и карты (в том числе, структурные, разработки, изобар, распределения запасов);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е) отчетные формы для федеральных органов исполнительной власти и органов исполнительной</w:t>
      </w:r>
      <w:r>
        <w:t xml:space="preserve"> власти субъектов Российской Федерации.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15.10. При сдаче лицензии недропользователь представляет в органы, выдавшие лицензию документацию и отчетность в соответствии с требованиями, установленными в лицензии на право пользования недрами и действующим закон</w:t>
      </w:r>
      <w:r>
        <w:t>одательством Российской Федерации.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  <w:outlineLvl w:val="1"/>
      </w:pPr>
      <w:r>
        <w:t>XVI. Завершение разработки месторождения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ind w:firstLine="540"/>
        <w:jc w:val="both"/>
      </w:pPr>
      <w:r>
        <w:t>16.1. Решение о завершении разработки принимается на основании подготовленного пользователем недр технико-экономического обоснования завершения разработки и проведения ликвидацио</w:t>
      </w:r>
      <w:r>
        <w:t>нных работ при выполнении одного из следующих условий: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>а) проектные решения ТПР или дополнения ТПР полностью реализованы, КИН (КИГ и КИК) достигнуты и числящиеся на ГБЗ извлекаемые запасы УВС полностью выработаны;</w:t>
      </w:r>
    </w:p>
    <w:p w:rsidR="00000000" w:rsidRDefault="00837FB8">
      <w:pPr>
        <w:pStyle w:val="ConsPlusNormal"/>
        <w:spacing w:before="240"/>
        <w:ind w:firstLine="540"/>
        <w:jc w:val="both"/>
      </w:pPr>
      <w:r>
        <w:t xml:space="preserve">б) технологии и техническое оборудование, </w:t>
      </w:r>
      <w:r>
        <w:t>которые может использовать недропользователь, не позволяют проводить дальнейшую рентабельную разработку месторождения.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right"/>
        <w:outlineLvl w:val="1"/>
      </w:pPr>
      <w:r>
        <w:t>Приложение</w:t>
      </w:r>
    </w:p>
    <w:p w:rsidR="00000000" w:rsidRDefault="00837FB8">
      <w:pPr>
        <w:pStyle w:val="ConsPlusNormal"/>
        <w:jc w:val="right"/>
      </w:pPr>
      <w:r>
        <w:t>к Правилам разработки месторождений</w:t>
      </w:r>
    </w:p>
    <w:p w:rsidR="00000000" w:rsidRDefault="00837FB8">
      <w:pPr>
        <w:pStyle w:val="ConsPlusNormal"/>
        <w:jc w:val="right"/>
      </w:pPr>
      <w:r>
        <w:t>углеводородного сырья</w:t>
      </w:r>
    </w:p>
    <w:p w:rsidR="00000000" w:rsidRDefault="00837FB8">
      <w:pPr>
        <w:pStyle w:val="ConsPlusNormal"/>
        <w:jc w:val="both"/>
      </w:pPr>
    </w:p>
    <w:p w:rsidR="00000000" w:rsidRDefault="00837FB8">
      <w:pPr>
        <w:pStyle w:val="ConsPlusTitle"/>
        <w:jc w:val="center"/>
      </w:pPr>
      <w:bookmarkStart w:id="16" w:name="Par527"/>
      <w:bookmarkEnd w:id="16"/>
      <w:r>
        <w:t>ДОПУСТИМЫЕ ОТКЛОНЕНИЯ</w:t>
      </w:r>
    </w:p>
    <w:p w:rsidR="00000000" w:rsidRDefault="00837FB8">
      <w:pPr>
        <w:pStyle w:val="ConsPlusTitle"/>
        <w:jc w:val="center"/>
      </w:pPr>
      <w:r>
        <w:t>ФАКТИЧЕСКОЙ ГОДОВОЙ ДОБЫЧИ НЕФТИ И (ИЛИ) СВОБОДНОГО ГАЗА</w:t>
      </w:r>
    </w:p>
    <w:p w:rsidR="00000000" w:rsidRDefault="00837FB8">
      <w:pPr>
        <w:pStyle w:val="ConsPlusTitle"/>
        <w:jc w:val="center"/>
      </w:pPr>
      <w:r>
        <w:t>ПО МЕСТОРОЖДЕНИЮ УГЛЕВОДОРОДОВ ОТ ПРОЕКТНОЙ ВЕЛИЧИНЫ,</w:t>
      </w:r>
    </w:p>
    <w:p w:rsidR="00000000" w:rsidRDefault="00837FB8">
      <w:pPr>
        <w:pStyle w:val="ConsPlusTitle"/>
        <w:jc w:val="center"/>
      </w:pPr>
      <w:r>
        <w:t>УТВЕРЖДЕННОЙ В ТЕХНИЧЕСКОМ ПРОЕКТЕ</w:t>
      </w:r>
    </w:p>
    <w:p w:rsidR="00000000" w:rsidRDefault="00837FB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37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37FB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20.09.2019 N 638)</w:t>
            </w:r>
          </w:p>
        </w:tc>
      </w:tr>
    </w:tbl>
    <w:p w:rsidR="00000000" w:rsidRDefault="00837FB8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0"/>
        <w:gridCol w:w="4738"/>
      </w:tblGrid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Проектный уровень годовой добычи нефти по месторождению, млн.т.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 xml:space="preserve">Допустимое отклонение </w:t>
            </w:r>
            <w:r w:rsidR="00CF4E00">
              <w:rPr>
                <w:noProof/>
                <w:position w:val="-12"/>
              </w:rPr>
              <w:drawing>
                <wp:inline distT="0" distB="0" distL="0" distR="0">
                  <wp:extent cx="302260" cy="3022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фактической годовой добычи от проектной, %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до 0,01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устанавливается в соответствии с фактически достигнутым уровнем</w:t>
            </w:r>
          </w:p>
        </w:tc>
      </w:tr>
      <w:tr w:rsidR="00000000">
        <w:tc>
          <w:tcPr>
            <w:tcW w:w="9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20.09.2019 N 638)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</w:t>
            </w:r>
            <w:r>
              <w:t>е 0,01 до 0,025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50,0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0,025 до 0,05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40,0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0,05 до 0,10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30,0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0,10 до 1,0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25,0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1,0 до 5,0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20,0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5,0 до 10,0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15,0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10,0 до 15,0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12,0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15,0 до 20,0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10,0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20,0 до 25,0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8,5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25,0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7,5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Проектный уровень годовой добычи свободного газа и (или) газа газовых шапок по месторождению, млрд.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  <w:jc w:val="center"/>
            </w:pPr>
            <w:r>
              <w:t>Допустимое отклоне</w:t>
            </w:r>
            <w:r>
              <w:t xml:space="preserve">ние </w:t>
            </w:r>
            <w:r w:rsidR="00CF4E00">
              <w:rPr>
                <w:noProof/>
                <w:position w:val="-12"/>
              </w:rPr>
              <w:drawing>
                <wp:inline distT="0" distB="0" distL="0" distR="0">
                  <wp:extent cx="302260" cy="3022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фактической годовой добычи от проектной, %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до 0,5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50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0,5 до 2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40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2 до 10 (включительно)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30</w:t>
            </w:r>
          </w:p>
        </w:tc>
      </w:tr>
      <w:tr w:rsidR="00000000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более 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37FB8">
            <w:pPr>
              <w:pStyle w:val="ConsPlusNormal"/>
            </w:pPr>
            <w:r>
              <w:t>20</w:t>
            </w:r>
          </w:p>
        </w:tc>
      </w:tr>
    </w:tbl>
    <w:p w:rsidR="00000000" w:rsidRDefault="00837FB8">
      <w:pPr>
        <w:pStyle w:val="ConsPlusNormal"/>
        <w:jc w:val="both"/>
      </w:pPr>
    </w:p>
    <w:p w:rsidR="00000000" w:rsidRDefault="00837FB8">
      <w:pPr>
        <w:pStyle w:val="ConsPlusNormal"/>
        <w:jc w:val="both"/>
      </w:pPr>
    </w:p>
    <w:p w:rsidR="00837FB8" w:rsidRDefault="00837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37FB8">
      <w:headerReference w:type="default" r:id="rId90"/>
      <w:footerReference w:type="default" r:id="rId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FB8" w:rsidRDefault="00837FB8">
      <w:pPr>
        <w:spacing w:after="0" w:line="240" w:lineRule="auto"/>
      </w:pPr>
      <w:r>
        <w:separator/>
      </w:r>
    </w:p>
  </w:endnote>
  <w:endnote w:type="continuationSeparator" w:id="0">
    <w:p w:rsidR="00837FB8" w:rsidRDefault="0083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7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7FB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7FB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7FB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CF4E00">
            <w:rPr>
              <w:sz w:val="20"/>
              <w:szCs w:val="20"/>
            </w:rPr>
            <w:fldChar w:fldCharType="separate"/>
          </w:r>
          <w:r w:rsidR="00CF4E0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CF4E00">
            <w:rPr>
              <w:sz w:val="20"/>
              <w:szCs w:val="20"/>
            </w:rPr>
            <w:fldChar w:fldCharType="separate"/>
          </w:r>
          <w:r w:rsidR="00CF4E0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37F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FB8" w:rsidRDefault="00837FB8">
      <w:pPr>
        <w:spacing w:after="0" w:line="240" w:lineRule="auto"/>
      </w:pPr>
      <w:r>
        <w:separator/>
      </w:r>
    </w:p>
  </w:footnote>
  <w:footnote w:type="continuationSeparator" w:id="0">
    <w:p w:rsidR="00837FB8" w:rsidRDefault="0083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7FB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России от 14.06.2016 N 356</w:t>
          </w:r>
          <w:r>
            <w:rPr>
              <w:sz w:val="16"/>
              <w:szCs w:val="16"/>
            </w:rPr>
            <w:br/>
            <w:t>(ред. от 20.09.2019)</w:t>
          </w:r>
          <w:r>
            <w:rPr>
              <w:sz w:val="16"/>
              <w:szCs w:val="16"/>
            </w:rPr>
            <w:br/>
            <w:t>"Об утверждении Правил разработки месторождений углево...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7FB8">
          <w:pPr>
            <w:pStyle w:val="ConsPlusNormal"/>
            <w:jc w:val="center"/>
          </w:pPr>
        </w:p>
        <w:p w:rsidR="00000000" w:rsidRDefault="00837FB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37FB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10.03.2020</w:t>
          </w:r>
        </w:p>
      </w:tc>
    </w:tr>
  </w:tbl>
  <w:p w:rsidR="00000000" w:rsidRDefault="00837FB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37FB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00"/>
    <w:rsid w:val="00837FB8"/>
    <w:rsid w:val="00C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D9B4DE-F69B-4939-B5A1-21AD057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34700&amp;date=10.03.2020&amp;dst=100006&amp;fld=134" TargetMode="External"/><Relationship Id="rId18" Type="http://schemas.openxmlformats.org/officeDocument/2006/relationships/hyperlink" Target="https://login.consultant.ru/link/?req=doc&amp;base=LAW&amp;n=336774&amp;date=10.03.2020&amp;dst=234&amp;fld=134" TargetMode="External"/><Relationship Id="rId26" Type="http://schemas.openxmlformats.org/officeDocument/2006/relationships/hyperlink" Target="https://login.consultant.ru/link/?req=doc&amp;base=LAW&amp;n=334700&amp;date=10.03.2020&amp;dst=100022&amp;fld=134" TargetMode="External"/><Relationship Id="rId39" Type="http://schemas.openxmlformats.org/officeDocument/2006/relationships/hyperlink" Target="https://login.consultant.ru/link/?req=doc&amp;base=LAW&amp;n=334700&amp;date=10.03.2020&amp;dst=100037&amp;fld=134" TargetMode="External"/><Relationship Id="rId21" Type="http://schemas.openxmlformats.org/officeDocument/2006/relationships/hyperlink" Target="https://login.consultant.ru/link/?req=doc&amp;base=LAW&amp;n=334700&amp;date=10.03.2020&amp;dst=100010&amp;fld=134" TargetMode="External"/><Relationship Id="rId34" Type="http://schemas.openxmlformats.org/officeDocument/2006/relationships/hyperlink" Target="https://login.consultant.ru/link/?req=doc&amp;base=LAW&amp;n=334700&amp;date=10.03.2020&amp;dst=100030&amp;fld=134" TargetMode="External"/><Relationship Id="rId42" Type="http://schemas.openxmlformats.org/officeDocument/2006/relationships/hyperlink" Target="https://login.consultant.ru/link/?req=doc&amp;base=LAW&amp;n=334700&amp;date=10.03.2020&amp;dst=100040&amp;fld=134" TargetMode="External"/><Relationship Id="rId47" Type="http://schemas.openxmlformats.org/officeDocument/2006/relationships/hyperlink" Target="https://login.consultant.ru/link/?req=doc&amp;base=LAW&amp;n=336774&amp;date=10.03.2020&amp;dst=166&amp;fld=134" TargetMode="External"/><Relationship Id="rId50" Type="http://schemas.openxmlformats.org/officeDocument/2006/relationships/hyperlink" Target="https://login.consultant.ru/link/?req=doc&amp;base=LAW&amp;n=334700&amp;date=10.03.2020&amp;dst=100053&amp;fld=134" TargetMode="External"/><Relationship Id="rId55" Type="http://schemas.openxmlformats.org/officeDocument/2006/relationships/hyperlink" Target="https://login.consultant.ru/link/?req=doc&amp;base=LAW&amp;n=334700&amp;date=10.03.2020&amp;dst=100065&amp;fld=134" TargetMode="External"/><Relationship Id="rId63" Type="http://schemas.openxmlformats.org/officeDocument/2006/relationships/hyperlink" Target="https://login.consultant.ru/link/?req=doc&amp;base=LAW&amp;n=334700&amp;date=10.03.2020&amp;dst=100080&amp;fld=134" TargetMode="External"/><Relationship Id="rId68" Type="http://schemas.openxmlformats.org/officeDocument/2006/relationships/hyperlink" Target="https://login.consultant.ru/link/?req=doc&amp;base=LAW&amp;n=334700&amp;date=10.03.2020&amp;dst=100088&amp;fld=134" TargetMode="External"/><Relationship Id="rId76" Type="http://schemas.openxmlformats.org/officeDocument/2006/relationships/hyperlink" Target="https://login.consultant.ru/link/?req=doc&amp;base=LAW&amp;n=334700&amp;date=10.03.2020&amp;dst=100099&amp;fld=134" TargetMode="External"/><Relationship Id="rId84" Type="http://schemas.openxmlformats.org/officeDocument/2006/relationships/hyperlink" Target="https://login.consultant.ru/link/?req=doc&amp;base=LAW&amp;n=334700&amp;date=10.03.2020&amp;dst=100108&amp;fld=134" TargetMode="External"/><Relationship Id="rId89" Type="http://schemas.openxmlformats.org/officeDocument/2006/relationships/hyperlink" Target="https://login.consultant.ru/link/?req=doc&amp;base=LAW&amp;n=334700&amp;date=10.03.2020&amp;dst=100113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334700&amp;date=10.03.2020&amp;dst=100096&amp;fld=134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201849&amp;date=10.03.2020&amp;dst=100014&amp;fld=134" TargetMode="External"/><Relationship Id="rId29" Type="http://schemas.openxmlformats.org/officeDocument/2006/relationships/hyperlink" Target="https://login.consultant.ru/link/?req=doc&amp;base=LAW&amp;n=334700&amp;date=10.03.2020&amp;dst=100025&amp;fld=134" TargetMode="External"/><Relationship Id="rId11" Type="http://schemas.openxmlformats.org/officeDocument/2006/relationships/hyperlink" Target="https://login.consultant.ru/link/?req=doc&amp;base=LAW&amp;n=344067&amp;date=10.03.2020&amp;dst=100229&amp;fld=134" TargetMode="External"/><Relationship Id="rId24" Type="http://schemas.openxmlformats.org/officeDocument/2006/relationships/hyperlink" Target="https://login.consultant.ru/link/?req=doc&amp;base=LAW&amp;n=342466&amp;date=10.03.2020&amp;dst=100097&amp;fld=134" TargetMode="External"/><Relationship Id="rId32" Type="http://schemas.openxmlformats.org/officeDocument/2006/relationships/hyperlink" Target="https://login.consultant.ru/link/?req=doc&amp;base=LAW&amp;n=334700&amp;date=10.03.2020&amp;dst=100029&amp;fld=134" TargetMode="External"/><Relationship Id="rId37" Type="http://schemas.openxmlformats.org/officeDocument/2006/relationships/hyperlink" Target="https://login.consultant.ru/link/?req=doc&amp;base=LAW&amp;n=334700&amp;date=10.03.2020&amp;dst=100034&amp;fld=134" TargetMode="External"/><Relationship Id="rId40" Type="http://schemas.openxmlformats.org/officeDocument/2006/relationships/hyperlink" Target="https://login.consultant.ru/link/?req=doc&amp;base=LAW&amp;n=334700&amp;date=10.03.2020&amp;dst=100039&amp;fld=134" TargetMode="External"/><Relationship Id="rId45" Type="http://schemas.openxmlformats.org/officeDocument/2006/relationships/hyperlink" Target="https://login.consultant.ru/link/?req=doc&amp;base=LAW&amp;n=342462&amp;date=10.03.2020&amp;dst=100010&amp;fld=134" TargetMode="External"/><Relationship Id="rId53" Type="http://schemas.openxmlformats.org/officeDocument/2006/relationships/hyperlink" Target="https://login.consultant.ru/link/?req=doc&amp;base=LAW&amp;n=334700&amp;date=10.03.2020&amp;dst=100060&amp;fld=134" TargetMode="External"/><Relationship Id="rId58" Type="http://schemas.openxmlformats.org/officeDocument/2006/relationships/hyperlink" Target="https://login.consultant.ru/link/?req=doc&amp;base=LAW&amp;n=334700&amp;date=10.03.2020&amp;dst=100068&amp;fld=134" TargetMode="External"/><Relationship Id="rId66" Type="http://schemas.openxmlformats.org/officeDocument/2006/relationships/hyperlink" Target="https://login.consultant.ru/link/?req=doc&amp;base=LAW&amp;n=334700&amp;date=10.03.2020&amp;dst=100086&amp;fld=134" TargetMode="External"/><Relationship Id="rId74" Type="http://schemas.openxmlformats.org/officeDocument/2006/relationships/hyperlink" Target="https://login.consultant.ru/link/?req=doc&amp;base=LAW&amp;n=344310&amp;date=10.03.2020&amp;dst=103509&amp;fld=134" TargetMode="External"/><Relationship Id="rId79" Type="http://schemas.openxmlformats.org/officeDocument/2006/relationships/hyperlink" Target="https://login.consultant.ru/link/?req=doc&amp;base=LAW&amp;n=334700&amp;date=10.03.2020&amp;dst=100103&amp;fld=134" TargetMode="External"/><Relationship Id="rId87" Type="http://schemas.openxmlformats.org/officeDocument/2006/relationships/hyperlink" Target="https://login.consultant.ru/link/?req=doc&amp;base=LAW&amp;n=334700&amp;date=10.03.2020&amp;dst=100113&amp;f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334700&amp;date=10.03.2020&amp;dst=100075&amp;fld=134" TargetMode="External"/><Relationship Id="rId82" Type="http://schemas.openxmlformats.org/officeDocument/2006/relationships/hyperlink" Target="https://login.consultant.ru/link/?req=doc&amp;base=LAW&amp;n=164519&amp;date=10.03.2020&amp;dst=100005&amp;fld=134" TargetMode="External"/><Relationship Id="rId90" Type="http://schemas.openxmlformats.org/officeDocument/2006/relationships/header" Target="header1.xml"/><Relationship Id="rId19" Type="http://schemas.openxmlformats.org/officeDocument/2006/relationships/hyperlink" Target="https://login.consultant.ru/link/?req=doc&amp;base=LAW&amp;n=336774&amp;date=10.03.2020&amp;dst=234&amp;fld=134" TargetMode="External"/><Relationship Id="rId14" Type="http://schemas.openxmlformats.org/officeDocument/2006/relationships/hyperlink" Target="https://login.consultant.ru/link/?req=doc&amp;base=LAW&amp;n=336774&amp;date=10.03.2020&amp;dst=219&amp;fld=134" TargetMode="External"/><Relationship Id="rId22" Type="http://schemas.openxmlformats.org/officeDocument/2006/relationships/hyperlink" Target="https://login.consultant.ru/link/?req=doc&amp;base=LAW&amp;n=157626&amp;date=10.03.2020&amp;dst=100010&amp;fld=134" TargetMode="External"/><Relationship Id="rId27" Type="http://schemas.openxmlformats.org/officeDocument/2006/relationships/hyperlink" Target="https://login.consultant.ru/link/?req=doc&amp;base=LAW&amp;n=336774&amp;date=10.03.2020&amp;dst=100145&amp;fld=134" TargetMode="External"/><Relationship Id="rId30" Type="http://schemas.openxmlformats.org/officeDocument/2006/relationships/hyperlink" Target="https://login.consultant.ru/link/?req=doc&amp;base=LAW&amp;n=334700&amp;date=10.03.2020&amp;dst=100026&amp;fld=134" TargetMode="External"/><Relationship Id="rId35" Type="http://schemas.openxmlformats.org/officeDocument/2006/relationships/hyperlink" Target="https://login.consultant.ru/link/?req=doc&amp;base=LAW&amp;n=334700&amp;date=10.03.2020&amp;dst=100032&amp;fld=134" TargetMode="External"/><Relationship Id="rId43" Type="http://schemas.openxmlformats.org/officeDocument/2006/relationships/hyperlink" Target="https://login.consultant.ru/link/?req=doc&amp;base=LAW&amp;n=334700&amp;date=10.03.2020&amp;dst=100042&amp;fld=134" TargetMode="External"/><Relationship Id="rId48" Type="http://schemas.openxmlformats.org/officeDocument/2006/relationships/hyperlink" Target="https://login.consultant.ru/link/?req=doc&amp;base=LAW&amp;n=336774&amp;date=10.03.2020&amp;dst=166&amp;fld=134" TargetMode="External"/><Relationship Id="rId56" Type="http://schemas.openxmlformats.org/officeDocument/2006/relationships/hyperlink" Target="https://login.consultant.ru/link/?req=doc&amp;base=LAW&amp;n=334700&amp;date=10.03.2020&amp;dst=100067&amp;fld=134" TargetMode="External"/><Relationship Id="rId64" Type="http://schemas.openxmlformats.org/officeDocument/2006/relationships/hyperlink" Target="https://login.consultant.ru/link/?req=doc&amp;base=LAW&amp;n=334700&amp;date=10.03.2020&amp;dst=100082&amp;fld=134" TargetMode="External"/><Relationship Id="rId69" Type="http://schemas.openxmlformats.org/officeDocument/2006/relationships/hyperlink" Target="https://login.consultant.ru/link/?req=doc&amp;base=LAW&amp;n=334700&amp;date=10.03.2020&amp;dst=100089&amp;fld=134" TargetMode="External"/><Relationship Id="rId77" Type="http://schemas.openxmlformats.org/officeDocument/2006/relationships/hyperlink" Target="https://login.consultant.ru/link/?req=doc&amp;base=LAW&amp;n=334700&amp;date=10.03.2020&amp;dst=100100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34700&amp;date=10.03.2020&amp;dst=100055&amp;fld=134" TargetMode="External"/><Relationship Id="rId72" Type="http://schemas.openxmlformats.org/officeDocument/2006/relationships/hyperlink" Target="https://login.consultant.ru/link/?req=doc&amp;base=LAW&amp;n=334700&amp;date=10.03.2020&amp;dst=100097&amp;fld=134" TargetMode="External"/><Relationship Id="rId80" Type="http://schemas.openxmlformats.org/officeDocument/2006/relationships/hyperlink" Target="https://login.consultant.ru/link/?req=doc&amp;base=LAW&amp;n=334700&amp;date=10.03.2020&amp;dst=100104&amp;fld=134" TargetMode="External"/><Relationship Id="rId85" Type="http://schemas.openxmlformats.org/officeDocument/2006/relationships/hyperlink" Target="https://login.consultant.ru/link/?req=doc&amp;base=LAW&amp;n=334700&amp;date=10.03.2020&amp;dst=100110&amp;fld=134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201849&amp;date=10.03.2020&amp;dst=100014&amp;fld=134" TargetMode="External"/><Relationship Id="rId17" Type="http://schemas.openxmlformats.org/officeDocument/2006/relationships/hyperlink" Target="https://login.consultant.ru/link/?req=doc&amp;base=LAW&amp;n=342466&amp;date=10.03.2020&amp;dst=100130&amp;fld=134" TargetMode="External"/><Relationship Id="rId25" Type="http://schemas.openxmlformats.org/officeDocument/2006/relationships/hyperlink" Target="https://login.consultant.ru/link/?req=doc&amp;base=LAW&amp;n=334700&amp;date=10.03.2020&amp;dst=100012&amp;fld=134" TargetMode="External"/><Relationship Id="rId33" Type="http://schemas.openxmlformats.org/officeDocument/2006/relationships/hyperlink" Target="https://login.consultant.ru/link/?req=doc&amp;base=LAW&amp;n=157626&amp;date=10.03.2020&amp;dst=100010&amp;fld=134" TargetMode="External"/><Relationship Id="rId38" Type="http://schemas.openxmlformats.org/officeDocument/2006/relationships/hyperlink" Target="https://login.consultant.ru/link/?req=doc&amp;base=LAW&amp;n=334700&amp;date=10.03.2020&amp;dst=100035&amp;fld=134" TargetMode="External"/><Relationship Id="rId46" Type="http://schemas.openxmlformats.org/officeDocument/2006/relationships/hyperlink" Target="https://login.consultant.ru/link/?req=doc&amp;base=LAW&amp;n=334700&amp;date=10.03.2020&amp;dst=100043&amp;fld=134" TargetMode="External"/><Relationship Id="rId59" Type="http://schemas.openxmlformats.org/officeDocument/2006/relationships/hyperlink" Target="https://login.consultant.ru/link/?req=doc&amp;base=LAW&amp;n=334700&amp;date=10.03.2020&amp;dst=100070&amp;fld=134" TargetMode="External"/><Relationship Id="rId67" Type="http://schemas.openxmlformats.org/officeDocument/2006/relationships/hyperlink" Target="https://login.consultant.ru/link/?req=doc&amp;base=LAW&amp;n=334700&amp;date=10.03.2020&amp;dst=100087&amp;fld=134" TargetMode="External"/><Relationship Id="rId20" Type="http://schemas.openxmlformats.org/officeDocument/2006/relationships/hyperlink" Target="https://login.consultant.ru/link/?req=doc&amp;base=LAW&amp;n=342466&amp;date=10.03.2020&amp;dst=100099&amp;fld=134" TargetMode="External"/><Relationship Id="rId41" Type="http://schemas.openxmlformats.org/officeDocument/2006/relationships/hyperlink" Target="https://login.consultant.ru/link/?req=doc&amp;base=LAW&amp;n=342462&amp;date=10.03.2020&amp;dst=100224&amp;fld=134" TargetMode="External"/><Relationship Id="rId54" Type="http://schemas.openxmlformats.org/officeDocument/2006/relationships/hyperlink" Target="https://login.consultant.ru/link/?req=doc&amp;base=LAW&amp;n=334700&amp;date=10.03.2020&amp;dst=100062&amp;fld=134" TargetMode="External"/><Relationship Id="rId62" Type="http://schemas.openxmlformats.org/officeDocument/2006/relationships/hyperlink" Target="https://login.consultant.ru/link/?req=doc&amp;base=LAW&amp;n=334700&amp;date=10.03.2020&amp;dst=100077&amp;fld=134" TargetMode="External"/><Relationship Id="rId70" Type="http://schemas.openxmlformats.org/officeDocument/2006/relationships/hyperlink" Target="https://login.consultant.ru/link/?req=doc&amp;base=LAW&amp;n=334700&amp;date=10.03.2020&amp;dst=100091&amp;fld=134" TargetMode="External"/><Relationship Id="rId75" Type="http://schemas.openxmlformats.org/officeDocument/2006/relationships/hyperlink" Target="https://login.consultant.ru/link/?req=doc&amp;base=LAW&amp;n=164519&amp;date=10.03.2020&amp;dst=100005&amp;fld=134" TargetMode="External"/><Relationship Id="rId83" Type="http://schemas.openxmlformats.org/officeDocument/2006/relationships/hyperlink" Target="https://login.consultant.ru/link/?req=doc&amp;base=LAW&amp;n=334700&amp;date=10.03.2020&amp;dst=100106&amp;fld=134" TargetMode="External"/><Relationship Id="rId88" Type="http://schemas.openxmlformats.org/officeDocument/2006/relationships/image" Target="media/image3.wmf"/><Relationship Id="rId9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44067&amp;date=10.03.2020&amp;dst=100229&amp;fld=134" TargetMode="External"/><Relationship Id="rId23" Type="http://schemas.openxmlformats.org/officeDocument/2006/relationships/hyperlink" Target="https://login.consultant.ru/link/?req=doc&amp;base=LAW&amp;n=157626&amp;date=10.03.2020&amp;dst=100063&amp;fld=134" TargetMode="External"/><Relationship Id="rId28" Type="http://schemas.openxmlformats.org/officeDocument/2006/relationships/hyperlink" Target="https://login.consultant.ru/link/?req=doc&amp;base=LAW&amp;n=334700&amp;date=10.03.2020&amp;dst=100023&amp;fld=134" TargetMode="External"/><Relationship Id="rId36" Type="http://schemas.openxmlformats.org/officeDocument/2006/relationships/hyperlink" Target="https://login.consultant.ru/link/?req=doc&amp;base=LAW&amp;n=334700&amp;date=10.03.2020&amp;dst=100033&amp;fld=134" TargetMode="External"/><Relationship Id="rId49" Type="http://schemas.openxmlformats.org/officeDocument/2006/relationships/hyperlink" Target="https://login.consultant.ru/link/?req=doc&amp;base=LAW&amp;n=334700&amp;date=10.03.2020&amp;dst=100045&amp;fld=134" TargetMode="External"/><Relationship Id="rId57" Type="http://schemas.openxmlformats.org/officeDocument/2006/relationships/image" Target="media/image2.wmf"/><Relationship Id="rId10" Type="http://schemas.openxmlformats.org/officeDocument/2006/relationships/hyperlink" Target="https://login.consultant.ru/link/?req=doc&amp;base=LAW&amp;n=336774&amp;date=10.03.2020&amp;dst=219&amp;fld=134" TargetMode="External"/><Relationship Id="rId31" Type="http://schemas.openxmlformats.org/officeDocument/2006/relationships/hyperlink" Target="https://login.consultant.ru/link/?req=doc&amp;base=LAW&amp;n=334700&amp;date=10.03.2020&amp;dst=100027&amp;fld=134" TargetMode="External"/><Relationship Id="rId44" Type="http://schemas.openxmlformats.org/officeDocument/2006/relationships/hyperlink" Target="https://login.consultant.ru/link/?req=doc&amp;base=LAW&amp;n=342462&amp;date=10.03.2020&amp;dst=100010&amp;fld=134" TargetMode="External"/><Relationship Id="rId52" Type="http://schemas.openxmlformats.org/officeDocument/2006/relationships/hyperlink" Target="https://login.consultant.ru/link/?req=doc&amp;base=LAW&amp;n=334700&amp;date=10.03.2020&amp;dst=100056&amp;fld=134" TargetMode="External"/><Relationship Id="rId60" Type="http://schemas.openxmlformats.org/officeDocument/2006/relationships/hyperlink" Target="https://login.consultant.ru/link/?req=doc&amp;base=LAW&amp;n=334700&amp;date=10.03.2020&amp;dst=100074&amp;fld=134" TargetMode="External"/><Relationship Id="rId65" Type="http://schemas.openxmlformats.org/officeDocument/2006/relationships/hyperlink" Target="https://login.consultant.ru/link/?req=doc&amp;base=LAW&amp;n=334700&amp;date=10.03.2020&amp;dst=100085&amp;fld=134" TargetMode="External"/><Relationship Id="rId73" Type="http://schemas.openxmlformats.org/officeDocument/2006/relationships/hyperlink" Target="https://login.consultant.ru/link/?req=doc&amp;base=LAW&amp;n=334700&amp;date=10.03.2020&amp;dst=100098&amp;fld=134" TargetMode="External"/><Relationship Id="rId78" Type="http://schemas.openxmlformats.org/officeDocument/2006/relationships/hyperlink" Target="https://login.consultant.ru/link/?req=doc&amp;base=LAW&amp;n=334700&amp;date=10.03.2020&amp;dst=100102&amp;fld=134" TargetMode="External"/><Relationship Id="rId81" Type="http://schemas.openxmlformats.org/officeDocument/2006/relationships/hyperlink" Target="https://login.consultant.ru/link/?req=doc&amp;base=LAW&amp;n=334700&amp;date=10.03.2020&amp;dst=100105&amp;fld=134" TargetMode="External"/><Relationship Id="rId86" Type="http://schemas.openxmlformats.org/officeDocument/2006/relationships/hyperlink" Target="https://login.consultant.ru/link/?req=doc&amp;base=LAW&amp;n=334700&amp;date=10.03.2020&amp;dst=10011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4700&amp;date=10.03.2020&amp;dst=10000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13750</Words>
  <Characters>78379</Characters>
  <Application>Microsoft Office Word</Application>
  <DocSecurity>2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14.06.2016 N 356(ред. от 20.09.2019)"Об утверждении Правил разработки месторождений углеводородного сырья"(Зарегистрировано в Минюсте России 26.08.2016 N 43415)</vt:lpstr>
    </vt:vector>
  </TitlesOfParts>
  <Company>КонсультантПлюс Версия 4018.00.50</Company>
  <LinksUpToDate>false</LinksUpToDate>
  <CharactersWithSpaces>91946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14.06.2016 N 356(ред. от 20.09.2019)"Об утверждении Правил разработки месторождений углеводородного сырья"(Зарегистрировано в Минюсте России 26.08.2016 N 43415)</dc:title>
  <dc:subject/>
  <dc:creator>Дмитрий Токарев</dc:creator>
  <cp:keywords/>
  <dc:description/>
  <cp:lastModifiedBy>Дмитрий Токарев</cp:lastModifiedBy>
  <cp:revision>2</cp:revision>
  <dcterms:created xsi:type="dcterms:W3CDTF">2020-03-11T10:25:00Z</dcterms:created>
  <dcterms:modified xsi:type="dcterms:W3CDTF">2020-03-11T10:25:00Z</dcterms:modified>
</cp:coreProperties>
</file>